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5BD4" w14:textId="3EF9C435"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C749EF" w:rsidRPr="008D1868">
        <w:rPr>
          <w:rFonts w:cs="Arial"/>
          <w:b/>
          <w:sz w:val="22"/>
          <w:szCs w:val="22"/>
          <w:lang w:val="en-US"/>
        </w:rPr>
        <w:t>11</w:t>
      </w:r>
      <w:r w:rsidR="00143D76">
        <w:rPr>
          <w:rFonts w:cs="Arial"/>
          <w:b/>
          <w:sz w:val="22"/>
          <w:szCs w:val="22"/>
          <w:lang w:val="en-US"/>
        </w:rPr>
        <w:t>9</w:t>
      </w:r>
      <w:r w:rsidR="00143D76">
        <w:rPr>
          <w:rFonts w:cs="Arial" w:hint="eastAsia"/>
          <w:b/>
          <w:sz w:val="22"/>
          <w:szCs w:val="22"/>
          <w:lang w:val="en-US" w:eastAsia="zh-CN"/>
        </w:rPr>
        <w:t>bis</w:t>
      </w:r>
      <w:r w:rsidRPr="008D1868">
        <w:rPr>
          <w:rFonts w:cs="Arial"/>
          <w:b/>
          <w:sz w:val="22"/>
          <w:szCs w:val="22"/>
          <w:lang w:val="en-US"/>
        </w:rPr>
        <w:t>-e</w:t>
      </w:r>
      <w:r w:rsidRPr="008D1868">
        <w:rPr>
          <w:rFonts w:cs="Arial"/>
          <w:b/>
          <w:i/>
          <w:sz w:val="22"/>
          <w:szCs w:val="22"/>
          <w:lang w:val="en-US"/>
        </w:rPr>
        <w:tab/>
      </w:r>
      <w:r w:rsidR="000B392F" w:rsidRPr="000B392F">
        <w:rPr>
          <w:rFonts w:cs="Arial"/>
          <w:b/>
          <w:i/>
          <w:sz w:val="22"/>
          <w:szCs w:val="22"/>
          <w:lang w:val="en-US" w:eastAsia="zh-CN"/>
        </w:rPr>
        <w:t>R2-220</w:t>
      </w:r>
      <w:r w:rsidR="004E472B">
        <w:rPr>
          <w:rFonts w:cs="Arial"/>
          <w:b/>
          <w:i/>
          <w:sz w:val="22"/>
          <w:szCs w:val="22"/>
          <w:lang w:val="en-US" w:eastAsia="zh-CN"/>
        </w:rPr>
        <w:t>9384</w:t>
      </w:r>
    </w:p>
    <w:p w14:paraId="540B9A86" w14:textId="20B2F647"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143D76">
        <w:rPr>
          <w:rFonts w:cs="Arial"/>
          <w:b/>
          <w:sz w:val="22"/>
          <w:szCs w:val="22"/>
          <w:lang w:val="en-US"/>
        </w:rPr>
        <w:t>October</w:t>
      </w:r>
      <w:r w:rsidR="00C749EF" w:rsidRPr="008D1868">
        <w:rPr>
          <w:rFonts w:cs="Arial"/>
          <w:b/>
          <w:sz w:val="22"/>
          <w:szCs w:val="22"/>
          <w:lang w:val="en-US"/>
        </w:rPr>
        <w:t xml:space="preserve"> </w:t>
      </w:r>
      <w:r w:rsidRPr="008D1868">
        <w:rPr>
          <w:rFonts w:cs="Arial"/>
          <w:b/>
          <w:sz w:val="22"/>
          <w:szCs w:val="22"/>
          <w:lang w:val="en-US"/>
        </w:rPr>
        <w:t>202</w:t>
      </w:r>
      <w:r w:rsidR="006673DC">
        <w:rPr>
          <w:rFonts w:cs="Arial"/>
          <w:b/>
          <w:sz w:val="22"/>
          <w:szCs w:val="22"/>
          <w:lang w:val="en-US"/>
        </w:rPr>
        <w:t>2</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210F6DC3" w:rsidR="00D0573B" w:rsidRDefault="00D0573B">
      <w:pPr>
        <w:pStyle w:val="3GPPHeader"/>
        <w:rPr>
          <w:sz w:val="22"/>
          <w:szCs w:val="22"/>
        </w:rPr>
      </w:pPr>
      <w:r w:rsidRPr="000575E5">
        <w:rPr>
          <w:sz w:val="22"/>
          <w:szCs w:val="22"/>
        </w:rPr>
        <w:t>Agenda Item:</w:t>
      </w:r>
      <w:r w:rsidRPr="000575E5">
        <w:rPr>
          <w:sz w:val="22"/>
          <w:szCs w:val="22"/>
        </w:rPr>
        <w:tab/>
      </w:r>
      <w:r w:rsidR="000B392F" w:rsidRPr="004E472B">
        <w:rPr>
          <w:sz w:val="22"/>
          <w:szCs w:val="22"/>
        </w:rPr>
        <w:t>6.24.1</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4D2E84FA" w:rsidR="00D0573B" w:rsidRDefault="00D0573B">
      <w:pPr>
        <w:pStyle w:val="3GPPHeader"/>
        <w:rPr>
          <w:sz w:val="22"/>
          <w:szCs w:val="22"/>
        </w:rPr>
      </w:pPr>
      <w:r>
        <w:rPr>
          <w:sz w:val="22"/>
          <w:szCs w:val="22"/>
        </w:rPr>
        <w:t>Title:</w:t>
      </w:r>
      <w:r>
        <w:rPr>
          <w:sz w:val="22"/>
          <w:szCs w:val="22"/>
        </w:rPr>
        <w:tab/>
      </w:r>
      <w:r w:rsidR="00D9430A">
        <w:rPr>
          <w:sz w:val="22"/>
          <w:szCs w:val="22"/>
        </w:rPr>
        <w:t xml:space="preserve">Discussion on R4 LS on </w:t>
      </w:r>
      <w:r w:rsidR="00143D76">
        <w:rPr>
          <w:sz w:val="22"/>
          <w:szCs w:val="22"/>
        </w:rPr>
        <w:t>new FR2 BW Class</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0C974B52" w14:textId="1DE11A5B" w:rsidR="002D485A" w:rsidRPr="0029477E" w:rsidRDefault="00D0573B" w:rsidP="0029477E">
      <w:pPr>
        <w:pStyle w:val="ac"/>
        <w:spacing w:before="120"/>
      </w:pPr>
      <w:r>
        <w:rPr>
          <w:rFonts w:cs="Arial"/>
        </w:rPr>
        <w:t xml:space="preserve">This is </w:t>
      </w:r>
      <w:bookmarkStart w:id="5" w:name="_Ref178064866"/>
      <w:r w:rsidR="003264B4">
        <w:rPr>
          <w:rFonts w:cs="Arial"/>
        </w:rPr>
        <w:t xml:space="preserve">to discuss the </w:t>
      </w:r>
      <w:r w:rsidR="00D9430A">
        <w:rPr>
          <w:rFonts w:cs="Arial"/>
        </w:rPr>
        <w:t xml:space="preserve">R4 LS of </w:t>
      </w:r>
      <w:r w:rsidR="00D9430A" w:rsidRPr="00D9430A">
        <w:rPr>
          <w:rFonts w:cs="Arial"/>
        </w:rPr>
        <w:t>R4-22</w:t>
      </w:r>
      <w:r w:rsidR="00143D76">
        <w:rPr>
          <w:rFonts w:cs="Arial"/>
        </w:rPr>
        <w:t>15160</w:t>
      </w:r>
      <w:r w:rsidR="0029477E">
        <w:rPr>
          <w:rFonts w:cs="Arial"/>
        </w:rPr>
        <w:t>.</w:t>
      </w:r>
    </w:p>
    <w:bookmarkEnd w:id="5"/>
    <w:p w14:paraId="23312DF5" w14:textId="777DA9D5" w:rsidR="00D0573B" w:rsidRDefault="007E5320" w:rsidP="005662A3">
      <w:pPr>
        <w:pStyle w:val="1"/>
        <w:ind w:left="720" w:hangingChars="200" w:hanging="720"/>
        <w:jc w:val="both"/>
      </w:pPr>
      <w:r>
        <w:t>Discussion</w:t>
      </w:r>
    </w:p>
    <w:p w14:paraId="2AE952E8" w14:textId="131307F9" w:rsidR="00C032F1" w:rsidRDefault="00C032F1" w:rsidP="00C032F1">
      <w:r>
        <w:rPr>
          <w:rFonts w:hint="eastAsia"/>
        </w:rPr>
        <w:t>S</w:t>
      </w:r>
      <w:r>
        <w:t>ince the whole request comes from the following NOTE.</w:t>
      </w:r>
    </w:p>
    <w:p w14:paraId="2B924E56" w14:textId="77777777" w:rsidR="00C032F1" w:rsidRDefault="00C032F1" w:rsidP="00C032F1">
      <w:pPr>
        <w:pStyle w:val="TAN"/>
        <w:pBdr>
          <w:top w:val="single" w:sz="4" w:space="1" w:color="auto"/>
          <w:left w:val="single" w:sz="4" w:space="4" w:color="auto"/>
          <w:bottom w:val="single" w:sz="4" w:space="1" w:color="auto"/>
          <w:right w:val="single" w:sz="4" w:space="4" w:color="auto"/>
        </w:pBdr>
        <w:rPr>
          <w:rFonts w:eastAsia="MS PGothic"/>
        </w:rPr>
      </w:pPr>
      <w:r w:rsidRPr="00C04A08">
        <w:rPr>
          <w:rFonts w:eastAsia="MS PGothic"/>
        </w:rPr>
        <w:t>NOTE 2:</w:t>
      </w:r>
      <w:r w:rsidRPr="00C04A08">
        <w:tab/>
      </w:r>
      <w:r w:rsidRPr="00C04A08">
        <w:rPr>
          <w:rFonts w:eastAsia="MS PGothic"/>
        </w:rPr>
        <w:t xml:space="preserve">It is mandatory for a UE to be able to </w:t>
      </w:r>
      <w:r w:rsidRPr="00C032F1">
        <w:rPr>
          <w:rFonts w:eastAsia="MS PGothic"/>
          <w:highlight w:val="yellow"/>
        </w:rPr>
        <w:t>fallback to lower order CA bandwidth class configuration within a fallback group</w:t>
      </w:r>
      <w:r w:rsidRPr="00C04A08">
        <w:rPr>
          <w:rFonts w:eastAsia="MS PGothic"/>
        </w:rPr>
        <w:t>. It is not mandatory for a UE to be able to fallback to lower order CA bandwidth class configuration that belong to a different fallback group.</w:t>
      </w:r>
    </w:p>
    <w:p w14:paraId="5C25A75C" w14:textId="26F2FD1C" w:rsidR="00C032F1" w:rsidRDefault="00C032F1" w:rsidP="00C032F1">
      <w:pPr>
        <w:spacing w:beforeLines="50" w:before="120"/>
      </w:pPr>
      <w:r>
        <w:rPr>
          <w:rFonts w:hint="eastAsia"/>
        </w:rPr>
        <w:t>Y</w:t>
      </w:r>
      <w:r>
        <w:t>et it is not super clear how to understand this request to UE.</w:t>
      </w:r>
    </w:p>
    <w:p w14:paraId="52E4D71D" w14:textId="0F48DAFE" w:rsidR="00C032F1" w:rsidRDefault="00C032F1" w:rsidP="00C032F1">
      <w:pPr>
        <w:spacing w:beforeLines="50" w:before="120"/>
      </w:pPr>
      <w:r>
        <w:t>Let’s take the following FB-group-3 of FR1 as an example (but the issue should be general, not limited to FR1 or this specific FB-group)</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C032F1" w:rsidRPr="00C032F1" w14:paraId="3EF8AF58" w14:textId="77777777" w:rsidTr="00575292">
        <w:tc>
          <w:tcPr>
            <w:tcW w:w="2316" w:type="dxa"/>
            <w:shd w:val="clear" w:color="auto" w:fill="auto"/>
            <w:tcMar>
              <w:top w:w="15" w:type="dxa"/>
              <w:left w:w="108" w:type="dxa"/>
              <w:bottom w:w="0" w:type="dxa"/>
              <w:right w:w="108" w:type="dxa"/>
            </w:tcMar>
          </w:tcPr>
          <w:p w14:paraId="4F630D91" w14:textId="77777777" w:rsidR="00C032F1" w:rsidRPr="00C032F1" w:rsidRDefault="00C032F1" w:rsidP="00C032F1">
            <w:pPr>
              <w:keepNext/>
              <w:keepLines/>
              <w:overflowPunct/>
              <w:autoSpaceDE/>
              <w:autoSpaceDN/>
              <w:adjustRightInd/>
              <w:spacing w:after="0"/>
              <w:jc w:val="center"/>
              <w:textAlignment w:val="auto"/>
              <w:rPr>
                <w:rFonts w:eastAsia="MS Mincho"/>
                <w:sz w:val="18"/>
                <w:lang w:eastAsia="en-US"/>
              </w:rPr>
            </w:pPr>
            <w:r w:rsidRPr="00C032F1">
              <w:rPr>
                <w:rFonts w:eastAsia="MS Mincho"/>
                <w:sz w:val="18"/>
                <w:lang w:eastAsia="en-US"/>
              </w:rPr>
              <w:t>M</w:t>
            </w:r>
            <w:r w:rsidRPr="00C032F1">
              <w:rPr>
                <w:rFonts w:eastAsia="MS Mincho"/>
                <w:sz w:val="18"/>
                <w:vertAlign w:val="superscript"/>
                <w:lang w:eastAsia="en-US"/>
              </w:rPr>
              <w:t>3</w:t>
            </w:r>
          </w:p>
        </w:tc>
        <w:tc>
          <w:tcPr>
            <w:tcW w:w="3420" w:type="dxa"/>
            <w:shd w:val="clear" w:color="auto" w:fill="auto"/>
            <w:tcMar>
              <w:top w:w="15" w:type="dxa"/>
              <w:left w:w="108" w:type="dxa"/>
              <w:bottom w:w="0" w:type="dxa"/>
              <w:right w:w="108" w:type="dxa"/>
            </w:tcMar>
          </w:tcPr>
          <w:p w14:paraId="260C41C1" w14:textId="77777777" w:rsidR="00C032F1" w:rsidRPr="00C032F1" w:rsidRDefault="00C032F1" w:rsidP="00C032F1">
            <w:pPr>
              <w:keepNext/>
              <w:keepLines/>
              <w:overflowPunct/>
              <w:autoSpaceDE/>
              <w:autoSpaceDN/>
              <w:adjustRightInd/>
              <w:spacing w:after="0"/>
              <w:jc w:val="center"/>
              <w:textAlignment w:val="auto"/>
              <w:rPr>
                <w:rFonts w:eastAsia="MS Mincho"/>
                <w:sz w:val="18"/>
                <w:lang w:val="fi-FI" w:eastAsia="en-US"/>
              </w:rPr>
            </w:pPr>
            <w:r w:rsidRPr="00C032F1">
              <w:rPr>
                <w:rFonts w:eastAsia="MS Mincho"/>
                <w:sz w:val="18"/>
                <w:lang w:val="fi-FI" w:eastAsia="en-US"/>
              </w:rPr>
              <w:t>50 MHz ≤ BW</w:t>
            </w:r>
            <w:proofErr w:type="spellStart"/>
            <w:r w:rsidRPr="00C032F1">
              <w:rPr>
                <w:rFonts w:eastAsia="MS Mincho"/>
                <w:sz w:val="18"/>
                <w:vertAlign w:val="subscript"/>
                <w:lang w:eastAsia="en-US"/>
              </w:rPr>
              <w:t>Channel_CA</w:t>
            </w:r>
            <w:proofErr w:type="spellEnd"/>
            <w:r w:rsidRPr="00C032F1">
              <w:rPr>
                <w:rFonts w:eastAsia="MS Mincho"/>
                <w:sz w:val="18"/>
                <w:lang w:val="fi-FI" w:eastAsia="en-US"/>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3F4346EE" w14:textId="77777777" w:rsidR="00C032F1" w:rsidRPr="00C032F1" w:rsidRDefault="00C032F1" w:rsidP="00C032F1">
            <w:pPr>
              <w:keepNext/>
              <w:keepLines/>
              <w:overflowPunct/>
              <w:autoSpaceDE/>
              <w:autoSpaceDN/>
              <w:adjustRightInd/>
              <w:spacing w:after="0"/>
              <w:jc w:val="center"/>
              <w:textAlignment w:val="auto"/>
              <w:rPr>
                <w:rFonts w:eastAsia="MS Mincho"/>
                <w:sz w:val="18"/>
                <w:lang w:eastAsia="en-US"/>
              </w:rPr>
            </w:pPr>
            <w:r w:rsidRPr="00C032F1">
              <w:rPr>
                <w:rFonts w:eastAsia="MS Mincho"/>
                <w:sz w:val="18"/>
                <w:lang w:eastAsia="en-US"/>
              </w:rPr>
              <w:t>3</w:t>
            </w:r>
          </w:p>
        </w:tc>
        <w:tc>
          <w:tcPr>
            <w:tcW w:w="1928" w:type="dxa"/>
            <w:tcBorders>
              <w:top w:val="single" w:sz="4" w:space="0" w:color="auto"/>
              <w:left w:val="single" w:sz="4" w:space="0" w:color="auto"/>
              <w:bottom w:val="nil"/>
              <w:right w:val="single" w:sz="4" w:space="0" w:color="auto"/>
            </w:tcBorders>
            <w:shd w:val="clear" w:color="auto" w:fill="auto"/>
          </w:tcPr>
          <w:p w14:paraId="1304ECAF" w14:textId="77777777" w:rsidR="00C032F1" w:rsidRPr="00C032F1" w:rsidRDefault="00C032F1" w:rsidP="00C032F1">
            <w:pPr>
              <w:keepNext/>
              <w:keepLines/>
              <w:overflowPunct/>
              <w:autoSpaceDE/>
              <w:autoSpaceDN/>
              <w:adjustRightInd/>
              <w:spacing w:after="0"/>
              <w:jc w:val="center"/>
              <w:textAlignment w:val="auto"/>
              <w:rPr>
                <w:rFonts w:eastAsia="MS Mincho"/>
                <w:sz w:val="18"/>
                <w:lang w:eastAsia="en-US"/>
              </w:rPr>
            </w:pPr>
            <w:r w:rsidRPr="00C032F1">
              <w:rPr>
                <w:rFonts w:eastAsia="MS Mincho"/>
                <w:sz w:val="18"/>
                <w:lang w:eastAsia="en-US"/>
              </w:rPr>
              <w:t>3</w:t>
            </w:r>
            <w:r w:rsidRPr="00C032F1">
              <w:rPr>
                <w:rFonts w:eastAsia="MS Mincho"/>
                <w:sz w:val="18"/>
                <w:vertAlign w:val="superscript"/>
                <w:lang w:eastAsia="en-US"/>
              </w:rPr>
              <w:t>4</w:t>
            </w:r>
          </w:p>
        </w:tc>
      </w:tr>
      <w:tr w:rsidR="00C032F1" w:rsidRPr="00C032F1" w14:paraId="3B19F62E" w14:textId="77777777" w:rsidTr="00575292">
        <w:tc>
          <w:tcPr>
            <w:tcW w:w="2316" w:type="dxa"/>
            <w:shd w:val="clear" w:color="auto" w:fill="auto"/>
            <w:tcMar>
              <w:top w:w="15" w:type="dxa"/>
              <w:left w:w="108" w:type="dxa"/>
              <w:bottom w:w="0" w:type="dxa"/>
              <w:right w:w="108" w:type="dxa"/>
            </w:tcMar>
          </w:tcPr>
          <w:p w14:paraId="656B9E87" w14:textId="77777777" w:rsidR="00C032F1" w:rsidRPr="00C032F1" w:rsidRDefault="00C032F1" w:rsidP="00C032F1">
            <w:pPr>
              <w:keepNext/>
              <w:keepLines/>
              <w:overflowPunct/>
              <w:autoSpaceDE/>
              <w:autoSpaceDN/>
              <w:adjustRightInd/>
              <w:spacing w:after="0"/>
              <w:jc w:val="center"/>
              <w:textAlignment w:val="auto"/>
              <w:rPr>
                <w:rFonts w:eastAsia="MS Mincho"/>
                <w:sz w:val="18"/>
                <w:lang w:eastAsia="en-US"/>
              </w:rPr>
            </w:pPr>
            <w:r w:rsidRPr="00C032F1">
              <w:rPr>
                <w:rFonts w:eastAsia="MS Mincho"/>
                <w:sz w:val="18"/>
                <w:lang w:eastAsia="en-US"/>
              </w:rPr>
              <w:t>N</w:t>
            </w:r>
            <w:r w:rsidRPr="00C032F1">
              <w:rPr>
                <w:rFonts w:eastAsia="MS Mincho"/>
                <w:sz w:val="18"/>
                <w:vertAlign w:val="superscript"/>
                <w:lang w:eastAsia="en-US"/>
              </w:rPr>
              <w:t>3</w:t>
            </w:r>
          </w:p>
        </w:tc>
        <w:tc>
          <w:tcPr>
            <w:tcW w:w="3420" w:type="dxa"/>
            <w:shd w:val="clear" w:color="auto" w:fill="auto"/>
            <w:tcMar>
              <w:top w:w="15" w:type="dxa"/>
              <w:left w:w="108" w:type="dxa"/>
              <w:bottom w:w="0" w:type="dxa"/>
              <w:right w:w="108" w:type="dxa"/>
            </w:tcMar>
          </w:tcPr>
          <w:p w14:paraId="6CAD9FE5" w14:textId="77777777" w:rsidR="00C032F1" w:rsidRPr="00C032F1" w:rsidRDefault="00C032F1" w:rsidP="00C032F1">
            <w:pPr>
              <w:keepNext/>
              <w:keepLines/>
              <w:overflowPunct/>
              <w:autoSpaceDE/>
              <w:autoSpaceDN/>
              <w:adjustRightInd/>
              <w:spacing w:after="0"/>
              <w:jc w:val="center"/>
              <w:textAlignment w:val="auto"/>
              <w:rPr>
                <w:rFonts w:eastAsia="MS Mincho"/>
                <w:sz w:val="18"/>
                <w:lang w:val="fi-FI" w:eastAsia="en-US"/>
              </w:rPr>
            </w:pPr>
            <w:r w:rsidRPr="00C032F1">
              <w:rPr>
                <w:rFonts w:eastAsia="MS Mincho"/>
                <w:sz w:val="18"/>
                <w:lang w:val="fi-FI" w:eastAsia="en-US"/>
              </w:rPr>
              <w:t>80 MHz ≤ BW</w:t>
            </w:r>
            <w:proofErr w:type="spellStart"/>
            <w:r w:rsidRPr="00C032F1">
              <w:rPr>
                <w:rFonts w:eastAsia="MS Mincho"/>
                <w:sz w:val="18"/>
                <w:vertAlign w:val="subscript"/>
                <w:lang w:eastAsia="en-US"/>
              </w:rPr>
              <w:t>Channel_CA</w:t>
            </w:r>
            <w:proofErr w:type="spellEnd"/>
            <w:r w:rsidRPr="00C032F1">
              <w:rPr>
                <w:rFonts w:eastAsia="MS Mincho"/>
                <w:sz w:val="18"/>
                <w:lang w:val="fi-FI" w:eastAsia="en-US"/>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5BDC01E3" w14:textId="77777777" w:rsidR="00C032F1" w:rsidRPr="00C032F1" w:rsidRDefault="00C032F1" w:rsidP="00C032F1">
            <w:pPr>
              <w:keepNext/>
              <w:keepLines/>
              <w:overflowPunct/>
              <w:autoSpaceDE/>
              <w:autoSpaceDN/>
              <w:adjustRightInd/>
              <w:spacing w:after="0"/>
              <w:jc w:val="center"/>
              <w:textAlignment w:val="auto"/>
              <w:rPr>
                <w:rFonts w:eastAsia="MS Mincho"/>
                <w:sz w:val="18"/>
                <w:lang w:eastAsia="en-US"/>
              </w:rPr>
            </w:pPr>
            <w:r w:rsidRPr="00C032F1">
              <w:rPr>
                <w:rFonts w:eastAsia="MS Mincho"/>
                <w:sz w:val="18"/>
                <w:lang w:eastAsia="en-US"/>
              </w:rPr>
              <w:t>4</w:t>
            </w:r>
          </w:p>
        </w:tc>
        <w:tc>
          <w:tcPr>
            <w:tcW w:w="1928" w:type="dxa"/>
            <w:tcBorders>
              <w:top w:val="nil"/>
              <w:left w:val="single" w:sz="4" w:space="0" w:color="auto"/>
              <w:bottom w:val="nil"/>
              <w:right w:val="single" w:sz="4" w:space="0" w:color="auto"/>
            </w:tcBorders>
            <w:shd w:val="clear" w:color="auto" w:fill="auto"/>
          </w:tcPr>
          <w:p w14:paraId="2241384F" w14:textId="77777777" w:rsidR="00C032F1" w:rsidRPr="00C032F1" w:rsidRDefault="00C032F1" w:rsidP="00C032F1">
            <w:pPr>
              <w:keepNext/>
              <w:keepLines/>
              <w:overflowPunct/>
              <w:autoSpaceDE/>
              <w:autoSpaceDN/>
              <w:adjustRightInd/>
              <w:spacing w:after="0"/>
              <w:jc w:val="center"/>
              <w:textAlignment w:val="auto"/>
              <w:rPr>
                <w:rFonts w:eastAsia="MS Mincho"/>
                <w:sz w:val="18"/>
                <w:lang w:eastAsia="en-US"/>
              </w:rPr>
            </w:pPr>
          </w:p>
        </w:tc>
      </w:tr>
      <w:tr w:rsidR="00C032F1" w:rsidRPr="00C032F1" w14:paraId="40AC0C8E" w14:textId="77777777" w:rsidTr="00575292">
        <w:tc>
          <w:tcPr>
            <w:tcW w:w="2316" w:type="dxa"/>
            <w:shd w:val="clear" w:color="auto" w:fill="auto"/>
            <w:tcMar>
              <w:top w:w="15" w:type="dxa"/>
              <w:left w:w="108" w:type="dxa"/>
              <w:bottom w:w="0" w:type="dxa"/>
              <w:right w:w="108" w:type="dxa"/>
            </w:tcMar>
          </w:tcPr>
          <w:p w14:paraId="6E06277D" w14:textId="77777777" w:rsidR="00C032F1" w:rsidRPr="00C032F1" w:rsidRDefault="00C032F1" w:rsidP="00C032F1">
            <w:pPr>
              <w:keepNext/>
              <w:keepLines/>
              <w:overflowPunct/>
              <w:autoSpaceDE/>
              <w:autoSpaceDN/>
              <w:adjustRightInd/>
              <w:spacing w:after="0"/>
              <w:jc w:val="center"/>
              <w:textAlignment w:val="auto"/>
              <w:rPr>
                <w:rFonts w:eastAsia="MS Mincho"/>
                <w:sz w:val="18"/>
                <w:lang w:eastAsia="en-US"/>
              </w:rPr>
            </w:pPr>
            <w:r w:rsidRPr="00C032F1">
              <w:rPr>
                <w:rFonts w:eastAsia="MS Mincho"/>
                <w:sz w:val="18"/>
                <w:lang w:eastAsia="en-US"/>
              </w:rPr>
              <w:t>O</w:t>
            </w:r>
            <w:r w:rsidRPr="00C032F1">
              <w:rPr>
                <w:rFonts w:eastAsia="MS Mincho"/>
                <w:sz w:val="18"/>
                <w:vertAlign w:val="superscript"/>
                <w:lang w:eastAsia="en-US"/>
              </w:rPr>
              <w:t>3</w:t>
            </w:r>
          </w:p>
        </w:tc>
        <w:tc>
          <w:tcPr>
            <w:tcW w:w="3420" w:type="dxa"/>
            <w:shd w:val="clear" w:color="auto" w:fill="auto"/>
            <w:tcMar>
              <w:top w:w="15" w:type="dxa"/>
              <w:left w:w="108" w:type="dxa"/>
              <w:bottom w:w="0" w:type="dxa"/>
              <w:right w:w="108" w:type="dxa"/>
            </w:tcMar>
          </w:tcPr>
          <w:p w14:paraId="7D25CC02" w14:textId="77777777" w:rsidR="00C032F1" w:rsidRPr="00C032F1" w:rsidRDefault="00C032F1" w:rsidP="00C032F1">
            <w:pPr>
              <w:keepNext/>
              <w:keepLines/>
              <w:overflowPunct/>
              <w:autoSpaceDE/>
              <w:autoSpaceDN/>
              <w:adjustRightInd/>
              <w:spacing w:after="0"/>
              <w:jc w:val="center"/>
              <w:textAlignment w:val="auto"/>
              <w:rPr>
                <w:rFonts w:eastAsia="MS Mincho"/>
                <w:sz w:val="18"/>
                <w:lang w:val="fi-FI" w:eastAsia="en-US"/>
              </w:rPr>
            </w:pPr>
            <w:r w:rsidRPr="00C032F1">
              <w:rPr>
                <w:rFonts w:eastAsia="MS Mincho"/>
                <w:sz w:val="18"/>
                <w:lang w:val="sv-SE" w:eastAsia="en-US"/>
              </w:rPr>
              <w:t>100 MHz ≤ BW</w:t>
            </w:r>
            <w:r w:rsidRPr="00C032F1">
              <w:rPr>
                <w:rFonts w:eastAsia="MS Mincho"/>
                <w:sz w:val="18"/>
                <w:vertAlign w:val="subscript"/>
                <w:lang w:val="sv-SE" w:eastAsia="en-US"/>
              </w:rPr>
              <w:t xml:space="preserve">Channel_CA </w:t>
            </w:r>
            <w:r w:rsidRPr="00C032F1">
              <w:rPr>
                <w:rFonts w:eastAsia="MS Mincho"/>
                <w:sz w:val="18"/>
                <w:lang w:val="sv-SE" w:eastAsia="en-US"/>
              </w:rPr>
              <w:t>≤ 400 MHz</w:t>
            </w:r>
          </w:p>
        </w:tc>
        <w:tc>
          <w:tcPr>
            <w:tcW w:w="2203" w:type="dxa"/>
            <w:tcBorders>
              <w:right w:val="single" w:sz="4" w:space="0" w:color="auto"/>
            </w:tcBorders>
            <w:shd w:val="clear" w:color="auto" w:fill="auto"/>
            <w:tcMar>
              <w:top w:w="15" w:type="dxa"/>
              <w:left w:w="108" w:type="dxa"/>
              <w:bottom w:w="0" w:type="dxa"/>
              <w:right w:w="108" w:type="dxa"/>
            </w:tcMar>
          </w:tcPr>
          <w:p w14:paraId="2E10749E" w14:textId="77777777" w:rsidR="00C032F1" w:rsidRPr="00C032F1" w:rsidRDefault="00C032F1" w:rsidP="00C032F1">
            <w:pPr>
              <w:keepNext/>
              <w:keepLines/>
              <w:overflowPunct/>
              <w:autoSpaceDE/>
              <w:autoSpaceDN/>
              <w:adjustRightInd/>
              <w:spacing w:after="0"/>
              <w:jc w:val="center"/>
              <w:textAlignment w:val="auto"/>
              <w:rPr>
                <w:rFonts w:eastAsia="MS Mincho"/>
                <w:sz w:val="18"/>
                <w:lang w:eastAsia="en-US"/>
              </w:rPr>
            </w:pPr>
            <w:r w:rsidRPr="00C032F1">
              <w:rPr>
                <w:rFonts w:eastAsia="MS Mincho"/>
                <w:sz w:val="18"/>
                <w:lang w:eastAsia="en-US"/>
              </w:rPr>
              <w:t>5</w:t>
            </w:r>
          </w:p>
        </w:tc>
        <w:tc>
          <w:tcPr>
            <w:tcW w:w="1928" w:type="dxa"/>
            <w:tcBorders>
              <w:top w:val="nil"/>
              <w:left w:val="single" w:sz="4" w:space="0" w:color="auto"/>
              <w:bottom w:val="single" w:sz="4" w:space="0" w:color="auto"/>
              <w:right w:val="single" w:sz="4" w:space="0" w:color="auto"/>
            </w:tcBorders>
            <w:shd w:val="clear" w:color="auto" w:fill="auto"/>
          </w:tcPr>
          <w:p w14:paraId="4856B008" w14:textId="77777777" w:rsidR="00C032F1" w:rsidRPr="00C032F1" w:rsidRDefault="00C032F1" w:rsidP="00C032F1">
            <w:pPr>
              <w:keepNext/>
              <w:keepLines/>
              <w:overflowPunct/>
              <w:autoSpaceDE/>
              <w:autoSpaceDN/>
              <w:adjustRightInd/>
              <w:spacing w:after="0"/>
              <w:jc w:val="center"/>
              <w:textAlignment w:val="auto"/>
              <w:rPr>
                <w:rFonts w:eastAsia="MS Mincho"/>
                <w:sz w:val="18"/>
                <w:lang w:eastAsia="en-US"/>
              </w:rPr>
            </w:pPr>
          </w:p>
        </w:tc>
      </w:tr>
    </w:tbl>
    <w:p w14:paraId="13E59CAC" w14:textId="42789A8C" w:rsidR="00C032F1" w:rsidRDefault="00C032F1" w:rsidP="00C032F1">
      <w:pPr>
        <w:spacing w:beforeLines="50" w:before="120"/>
      </w:pPr>
      <w:r>
        <w:rPr>
          <w:rFonts w:hint="eastAsia"/>
        </w:rPr>
        <w:t>A</w:t>
      </w:r>
      <w:r>
        <w:t>nd if we check the following BCs</w:t>
      </w:r>
    </w:p>
    <w:tbl>
      <w:tblPr>
        <w:tblW w:w="96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C032F1" w:rsidRPr="001C0CC4" w14:paraId="425366A1" w14:textId="77777777" w:rsidTr="007C0F9B">
        <w:trPr>
          <w:jc w:val="center"/>
        </w:trPr>
        <w:tc>
          <w:tcPr>
            <w:tcW w:w="1071" w:type="dxa"/>
            <w:tcBorders>
              <w:left w:val="single" w:sz="4" w:space="0" w:color="auto"/>
              <w:bottom w:val="single" w:sz="6" w:space="0" w:color="auto"/>
              <w:right w:val="single" w:sz="6" w:space="0" w:color="auto"/>
            </w:tcBorders>
          </w:tcPr>
          <w:p w14:paraId="107DD04A" w14:textId="728C436E" w:rsidR="00C032F1" w:rsidRDefault="00C032F1" w:rsidP="00C032F1">
            <w:pPr>
              <w:pStyle w:val="TAC"/>
            </w:pPr>
            <w:r w:rsidRPr="001C0CC4">
              <w:t>NR CA configuration</w:t>
            </w:r>
          </w:p>
        </w:tc>
        <w:tc>
          <w:tcPr>
            <w:tcW w:w="1071" w:type="dxa"/>
            <w:tcBorders>
              <w:left w:val="single" w:sz="6" w:space="0" w:color="auto"/>
              <w:bottom w:val="single" w:sz="6" w:space="0" w:color="auto"/>
              <w:right w:val="single" w:sz="6" w:space="0" w:color="auto"/>
            </w:tcBorders>
          </w:tcPr>
          <w:p w14:paraId="45AC6765" w14:textId="0A03C8AD" w:rsidR="00C032F1" w:rsidRDefault="00C032F1" w:rsidP="00C032F1">
            <w:pPr>
              <w:pStyle w:val="TAC"/>
              <w:rPr>
                <w:rFonts w:cs="Arial"/>
                <w:szCs w:val="18"/>
                <w:lang w:val="sv-SE" w:eastAsia="zh-CN"/>
              </w:rPr>
            </w:pPr>
            <w:r w:rsidRPr="001C0CC4">
              <w:t>Uplink CA configurations</w:t>
            </w:r>
          </w:p>
        </w:tc>
        <w:tc>
          <w:tcPr>
            <w:tcW w:w="1071" w:type="dxa"/>
            <w:tcBorders>
              <w:top w:val="single" w:sz="6" w:space="0" w:color="auto"/>
              <w:left w:val="single" w:sz="6" w:space="0" w:color="auto"/>
              <w:bottom w:val="single" w:sz="6" w:space="0" w:color="auto"/>
              <w:right w:val="single" w:sz="6" w:space="0" w:color="auto"/>
            </w:tcBorders>
          </w:tcPr>
          <w:p w14:paraId="02077698" w14:textId="4E36561C" w:rsidR="00C032F1" w:rsidRDefault="00C032F1" w:rsidP="00C032F1">
            <w:pPr>
              <w:pStyle w:val="TAC"/>
            </w:pPr>
            <w:r w:rsidRPr="001C0CC4">
              <w:t>Channel bandwidths for carrier (MHz)</w:t>
            </w:r>
          </w:p>
        </w:tc>
        <w:tc>
          <w:tcPr>
            <w:tcW w:w="1071" w:type="dxa"/>
            <w:tcBorders>
              <w:top w:val="single" w:sz="6" w:space="0" w:color="auto"/>
              <w:left w:val="single" w:sz="6" w:space="0" w:color="auto"/>
              <w:bottom w:val="single" w:sz="6" w:space="0" w:color="auto"/>
              <w:right w:val="single" w:sz="6" w:space="0" w:color="auto"/>
            </w:tcBorders>
          </w:tcPr>
          <w:p w14:paraId="735D6415" w14:textId="15925208" w:rsidR="00C032F1" w:rsidRDefault="00C032F1" w:rsidP="00C032F1">
            <w:pPr>
              <w:pStyle w:val="TAC"/>
            </w:pPr>
            <w:r w:rsidRPr="001C0CC4">
              <w:t>Channel bandwidths for carrier (MHz)</w:t>
            </w:r>
          </w:p>
        </w:tc>
        <w:tc>
          <w:tcPr>
            <w:tcW w:w="1071" w:type="dxa"/>
            <w:tcBorders>
              <w:top w:val="single" w:sz="6" w:space="0" w:color="auto"/>
              <w:left w:val="single" w:sz="6" w:space="0" w:color="auto"/>
              <w:bottom w:val="single" w:sz="6" w:space="0" w:color="auto"/>
              <w:right w:val="single" w:sz="6" w:space="0" w:color="auto"/>
            </w:tcBorders>
          </w:tcPr>
          <w:p w14:paraId="60D562AE" w14:textId="2961B8ED" w:rsidR="00C032F1" w:rsidRDefault="00C032F1" w:rsidP="00C032F1">
            <w:pPr>
              <w:pStyle w:val="TAC"/>
            </w:pPr>
            <w:r w:rsidRPr="001C0CC4">
              <w:t>Channel bandwidths for carrier (MHz)</w:t>
            </w:r>
          </w:p>
        </w:tc>
        <w:tc>
          <w:tcPr>
            <w:tcW w:w="1071" w:type="dxa"/>
            <w:tcBorders>
              <w:top w:val="single" w:sz="6" w:space="0" w:color="auto"/>
              <w:left w:val="single" w:sz="6" w:space="0" w:color="auto"/>
              <w:bottom w:val="single" w:sz="6" w:space="0" w:color="auto"/>
              <w:right w:val="single" w:sz="6" w:space="0" w:color="auto"/>
            </w:tcBorders>
          </w:tcPr>
          <w:p w14:paraId="75379116" w14:textId="25002288" w:rsidR="00C032F1" w:rsidRPr="001C0CC4" w:rsidRDefault="00C032F1" w:rsidP="00C032F1">
            <w:pPr>
              <w:pStyle w:val="TAC"/>
            </w:pPr>
            <w:r w:rsidRPr="001C0CC4">
              <w:t>Channel bandwidths for carrier (MHz)</w:t>
            </w:r>
          </w:p>
        </w:tc>
        <w:tc>
          <w:tcPr>
            <w:tcW w:w="1071" w:type="dxa"/>
            <w:tcBorders>
              <w:top w:val="single" w:sz="6" w:space="0" w:color="auto"/>
              <w:left w:val="single" w:sz="6" w:space="0" w:color="auto"/>
              <w:bottom w:val="single" w:sz="6" w:space="0" w:color="auto"/>
              <w:right w:val="single" w:sz="6" w:space="0" w:color="auto"/>
            </w:tcBorders>
          </w:tcPr>
          <w:p w14:paraId="6FC5FE10" w14:textId="11398B5C" w:rsidR="00C032F1" w:rsidRPr="001C0CC4" w:rsidRDefault="00C032F1" w:rsidP="00C032F1">
            <w:pPr>
              <w:pStyle w:val="TAC"/>
            </w:pPr>
            <w:r w:rsidRPr="001C0CC4">
              <w:t>Channel bandwidths for carrier (MHz)</w:t>
            </w:r>
          </w:p>
        </w:tc>
        <w:tc>
          <w:tcPr>
            <w:tcW w:w="1071" w:type="dxa"/>
            <w:tcBorders>
              <w:left w:val="single" w:sz="6" w:space="0" w:color="auto"/>
              <w:bottom w:val="single" w:sz="6" w:space="0" w:color="auto"/>
              <w:right w:val="single" w:sz="6" w:space="0" w:color="auto"/>
            </w:tcBorders>
          </w:tcPr>
          <w:p w14:paraId="19B09C6F" w14:textId="67A3F4A1" w:rsidR="00C032F1" w:rsidRDefault="00C032F1" w:rsidP="00C032F1">
            <w:pPr>
              <w:pStyle w:val="TAC"/>
              <w:rPr>
                <w:rFonts w:eastAsia="Yu Mincho"/>
                <w:lang w:eastAsia="ja-JP"/>
              </w:rPr>
            </w:pPr>
            <w:r w:rsidRPr="001C0CC4">
              <w:t xml:space="preserve">Maximum aggregated </w:t>
            </w:r>
            <w:r w:rsidRPr="001C0CC4">
              <w:br/>
              <w:t>bandwidth (MHz)</w:t>
            </w:r>
          </w:p>
        </w:tc>
        <w:tc>
          <w:tcPr>
            <w:tcW w:w="1071" w:type="dxa"/>
            <w:tcBorders>
              <w:left w:val="single" w:sz="6" w:space="0" w:color="auto"/>
              <w:right w:val="single" w:sz="4" w:space="0" w:color="auto"/>
            </w:tcBorders>
          </w:tcPr>
          <w:p w14:paraId="276E021A" w14:textId="17ECA4C6" w:rsidR="00C032F1" w:rsidRDefault="00C032F1" w:rsidP="00C032F1">
            <w:pPr>
              <w:pStyle w:val="TAC"/>
            </w:pPr>
            <w:r w:rsidRPr="001C0CC4">
              <w:t>Bandwidth combination set</w:t>
            </w:r>
          </w:p>
        </w:tc>
      </w:tr>
      <w:tr w:rsidR="00C032F1" w:rsidRPr="001C0CC4" w14:paraId="55ABD15B" w14:textId="77777777" w:rsidTr="00C032F1">
        <w:trPr>
          <w:jc w:val="center"/>
        </w:trPr>
        <w:tc>
          <w:tcPr>
            <w:tcW w:w="1071" w:type="dxa"/>
            <w:tcBorders>
              <w:left w:val="single" w:sz="4" w:space="0" w:color="auto"/>
              <w:bottom w:val="single" w:sz="6" w:space="0" w:color="auto"/>
              <w:right w:val="single" w:sz="6" w:space="0" w:color="auto"/>
            </w:tcBorders>
          </w:tcPr>
          <w:p w14:paraId="528039BA" w14:textId="77777777" w:rsidR="00C032F1" w:rsidRPr="001C0CC4" w:rsidRDefault="00C032F1" w:rsidP="00C032F1">
            <w:pPr>
              <w:pStyle w:val="TAC"/>
            </w:pPr>
            <w:r>
              <w:t>CA_n46M</w:t>
            </w:r>
          </w:p>
        </w:tc>
        <w:tc>
          <w:tcPr>
            <w:tcW w:w="1071" w:type="dxa"/>
            <w:tcBorders>
              <w:left w:val="single" w:sz="6" w:space="0" w:color="auto"/>
              <w:bottom w:val="single" w:sz="6" w:space="0" w:color="auto"/>
              <w:right w:val="single" w:sz="6" w:space="0" w:color="auto"/>
            </w:tcBorders>
          </w:tcPr>
          <w:p w14:paraId="1C337C80" w14:textId="77777777" w:rsidR="00C032F1" w:rsidRPr="001C0CC4" w:rsidRDefault="00C032F1" w:rsidP="00C032F1">
            <w:pPr>
              <w:pStyle w:val="TAC"/>
            </w:pPr>
            <w:r>
              <w:rPr>
                <w:rFonts w:cs="Arial"/>
                <w:szCs w:val="18"/>
                <w:lang w:val="sv-SE" w:eastAsia="zh-CN"/>
              </w:rPr>
              <w:t>-</w:t>
            </w:r>
          </w:p>
        </w:tc>
        <w:tc>
          <w:tcPr>
            <w:tcW w:w="1071" w:type="dxa"/>
            <w:tcBorders>
              <w:top w:val="single" w:sz="6" w:space="0" w:color="auto"/>
              <w:left w:val="single" w:sz="6" w:space="0" w:color="auto"/>
              <w:bottom w:val="single" w:sz="6" w:space="0" w:color="auto"/>
              <w:right w:val="single" w:sz="6" w:space="0" w:color="auto"/>
            </w:tcBorders>
            <w:vAlign w:val="center"/>
          </w:tcPr>
          <w:p w14:paraId="7E3BEB80" w14:textId="77777777" w:rsidR="00C032F1" w:rsidRPr="001C0CC4" w:rsidRDefault="00C032F1" w:rsidP="00C032F1">
            <w:pPr>
              <w:pStyle w:val="TAC"/>
            </w:pPr>
            <w:r>
              <w:t>20, 40, 60</w:t>
            </w:r>
          </w:p>
        </w:tc>
        <w:tc>
          <w:tcPr>
            <w:tcW w:w="1071" w:type="dxa"/>
            <w:tcBorders>
              <w:top w:val="single" w:sz="6" w:space="0" w:color="auto"/>
              <w:left w:val="single" w:sz="6" w:space="0" w:color="auto"/>
              <w:bottom w:val="single" w:sz="6" w:space="0" w:color="auto"/>
              <w:right w:val="single" w:sz="6" w:space="0" w:color="auto"/>
            </w:tcBorders>
            <w:vAlign w:val="center"/>
          </w:tcPr>
          <w:p w14:paraId="5BC685C2" w14:textId="77777777" w:rsidR="00C032F1" w:rsidRPr="001C0CC4" w:rsidRDefault="00C032F1" w:rsidP="00C032F1">
            <w:pPr>
              <w:pStyle w:val="TAC"/>
            </w:pPr>
            <w:r>
              <w:t>20, 40</w:t>
            </w:r>
          </w:p>
        </w:tc>
        <w:tc>
          <w:tcPr>
            <w:tcW w:w="1071" w:type="dxa"/>
            <w:tcBorders>
              <w:top w:val="single" w:sz="6" w:space="0" w:color="auto"/>
              <w:left w:val="single" w:sz="6" w:space="0" w:color="auto"/>
              <w:bottom w:val="single" w:sz="6" w:space="0" w:color="auto"/>
              <w:right w:val="single" w:sz="6" w:space="0" w:color="auto"/>
            </w:tcBorders>
            <w:vAlign w:val="center"/>
          </w:tcPr>
          <w:p w14:paraId="6A0651D8" w14:textId="77777777" w:rsidR="00C032F1" w:rsidRPr="001C0CC4" w:rsidRDefault="00C032F1" w:rsidP="00C032F1">
            <w:pPr>
              <w:pStyle w:val="TAC"/>
            </w:pPr>
            <w:r>
              <w:t>20, 40</w:t>
            </w:r>
          </w:p>
        </w:tc>
        <w:tc>
          <w:tcPr>
            <w:tcW w:w="1071" w:type="dxa"/>
            <w:tcBorders>
              <w:top w:val="single" w:sz="6" w:space="0" w:color="auto"/>
              <w:left w:val="single" w:sz="6" w:space="0" w:color="auto"/>
              <w:bottom w:val="single" w:sz="6" w:space="0" w:color="auto"/>
              <w:right w:val="single" w:sz="6" w:space="0" w:color="auto"/>
            </w:tcBorders>
            <w:vAlign w:val="center"/>
          </w:tcPr>
          <w:p w14:paraId="0F7EBAAA" w14:textId="77777777" w:rsidR="00C032F1" w:rsidRPr="001C0CC4" w:rsidRDefault="00C032F1" w:rsidP="00C032F1">
            <w:pPr>
              <w:pStyle w:val="TAC"/>
            </w:pPr>
          </w:p>
        </w:tc>
        <w:tc>
          <w:tcPr>
            <w:tcW w:w="1071" w:type="dxa"/>
            <w:tcBorders>
              <w:top w:val="single" w:sz="6" w:space="0" w:color="auto"/>
              <w:left w:val="single" w:sz="6" w:space="0" w:color="auto"/>
              <w:bottom w:val="single" w:sz="6" w:space="0" w:color="auto"/>
              <w:right w:val="single" w:sz="6" w:space="0" w:color="auto"/>
            </w:tcBorders>
            <w:vAlign w:val="center"/>
          </w:tcPr>
          <w:p w14:paraId="0BCBD484" w14:textId="77777777" w:rsidR="00C032F1" w:rsidRPr="001C0CC4" w:rsidRDefault="00C032F1" w:rsidP="00C032F1">
            <w:pPr>
              <w:pStyle w:val="TAC"/>
            </w:pPr>
          </w:p>
        </w:tc>
        <w:tc>
          <w:tcPr>
            <w:tcW w:w="1071" w:type="dxa"/>
            <w:tcBorders>
              <w:left w:val="single" w:sz="6" w:space="0" w:color="auto"/>
              <w:bottom w:val="single" w:sz="6" w:space="0" w:color="auto"/>
              <w:right w:val="single" w:sz="6" w:space="0" w:color="auto"/>
            </w:tcBorders>
            <w:vAlign w:val="center"/>
          </w:tcPr>
          <w:p w14:paraId="25A48DBE" w14:textId="77777777" w:rsidR="00C032F1" w:rsidRPr="001C0CC4" w:rsidRDefault="00C032F1" w:rsidP="00C032F1">
            <w:pPr>
              <w:pStyle w:val="TAC"/>
              <w:rPr>
                <w:rFonts w:eastAsia="Yu Mincho"/>
                <w:lang w:eastAsia="ja-JP"/>
              </w:rPr>
            </w:pPr>
            <w:r>
              <w:rPr>
                <w:rFonts w:eastAsia="Yu Mincho"/>
                <w:lang w:eastAsia="ja-JP"/>
              </w:rPr>
              <w:t>140</w:t>
            </w:r>
          </w:p>
        </w:tc>
        <w:tc>
          <w:tcPr>
            <w:tcW w:w="1071" w:type="dxa"/>
            <w:tcBorders>
              <w:left w:val="single" w:sz="6" w:space="0" w:color="auto"/>
              <w:right w:val="single" w:sz="4" w:space="0" w:color="auto"/>
            </w:tcBorders>
          </w:tcPr>
          <w:p w14:paraId="34DE77EF" w14:textId="77777777" w:rsidR="00C032F1" w:rsidRPr="001C0CC4" w:rsidRDefault="00C032F1" w:rsidP="00C032F1">
            <w:pPr>
              <w:pStyle w:val="TAC"/>
            </w:pPr>
            <w:r>
              <w:t>0</w:t>
            </w:r>
          </w:p>
        </w:tc>
      </w:tr>
      <w:tr w:rsidR="00C032F1" w:rsidRPr="001C0CC4" w14:paraId="09CE630F" w14:textId="77777777" w:rsidTr="00C032F1">
        <w:trPr>
          <w:jc w:val="center"/>
        </w:trPr>
        <w:tc>
          <w:tcPr>
            <w:tcW w:w="1071" w:type="dxa"/>
            <w:tcBorders>
              <w:left w:val="single" w:sz="4" w:space="0" w:color="auto"/>
              <w:bottom w:val="single" w:sz="6" w:space="0" w:color="auto"/>
              <w:right w:val="single" w:sz="6" w:space="0" w:color="auto"/>
            </w:tcBorders>
          </w:tcPr>
          <w:p w14:paraId="3B8B7F7A" w14:textId="77777777" w:rsidR="00C032F1" w:rsidRPr="001C0CC4" w:rsidRDefault="00C032F1" w:rsidP="00C032F1">
            <w:pPr>
              <w:pStyle w:val="TAC"/>
            </w:pPr>
            <w:r>
              <w:t>CA_n46N</w:t>
            </w:r>
          </w:p>
        </w:tc>
        <w:tc>
          <w:tcPr>
            <w:tcW w:w="1071" w:type="dxa"/>
            <w:tcBorders>
              <w:left w:val="single" w:sz="6" w:space="0" w:color="auto"/>
              <w:bottom w:val="single" w:sz="6" w:space="0" w:color="auto"/>
              <w:right w:val="single" w:sz="6" w:space="0" w:color="auto"/>
            </w:tcBorders>
          </w:tcPr>
          <w:p w14:paraId="71A648FA" w14:textId="77777777" w:rsidR="00C032F1" w:rsidRPr="001C0CC4" w:rsidRDefault="00C032F1" w:rsidP="00C032F1">
            <w:pPr>
              <w:pStyle w:val="TAC"/>
            </w:pPr>
            <w:r>
              <w:rPr>
                <w:rFonts w:cs="Arial"/>
                <w:szCs w:val="18"/>
                <w:lang w:val="sv-SE" w:eastAsia="zh-CN"/>
              </w:rPr>
              <w:t>-</w:t>
            </w:r>
          </w:p>
        </w:tc>
        <w:tc>
          <w:tcPr>
            <w:tcW w:w="1071" w:type="dxa"/>
            <w:tcBorders>
              <w:top w:val="single" w:sz="6" w:space="0" w:color="auto"/>
              <w:left w:val="single" w:sz="6" w:space="0" w:color="auto"/>
              <w:bottom w:val="single" w:sz="6" w:space="0" w:color="auto"/>
              <w:right w:val="single" w:sz="6" w:space="0" w:color="auto"/>
            </w:tcBorders>
            <w:vAlign w:val="center"/>
          </w:tcPr>
          <w:p w14:paraId="134AA0F9" w14:textId="77777777" w:rsidR="00C032F1" w:rsidRPr="001C0CC4" w:rsidRDefault="00C032F1" w:rsidP="00C032F1">
            <w:pPr>
              <w:pStyle w:val="TAC"/>
            </w:pPr>
            <w:r>
              <w:t xml:space="preserve">20, 40, </w:t>
            </w:r>
            <w:r w:rsidRPr="00C032F1">
              <w:rPr>
                <w:highlight w:val="yellow"/>
              </w:rPr>
              <w:t>80</w:t>
            </w:r>
          </w:p>
        </w:tc>
        <w:tc>
          <w:tcPr>
            <w:tcW w:w="1071" w:type="dxa"/>
            <w:tcBorders>
              <w:top w:val="single" w:sz="6" w:space="0" w:color="auto"/>
              <w:left w:val="single" w:sz="6" w:space="0" w:color="auto"/>
              <w:bottom w:val="single" w:sz="6" w:space="0" w:color="auto"/>
              <w:right w:val="single" w:sz="6" w:space="0" w:color="auto"/>
            </w:tcBorders>
            <w:vAlign w:val="center"/>
          </w:tcPr>
          <w:p w14:paraId="310E3791" w14:textId="77777777" w:rsidR="00C032F1" w:rsidRPr="001C0CC4" w:rsidRDefault="00C032F1" w:rsidP="00C032F1">
            <w:pPr>
              <w:pStyle w:val="TAC"/>
            </w:pPr>
            <w:r>
              <w:t>20, 40</w:t>
            </w:r>
          </w:p>
        </w:tc>
        <w:tc>
          <w:tcPr>
            <w:tcW w:w="1071" w:type="dxa"/>
            <w:tcBorders>
              <w:top w:val="single" w:sz="6" w:space="0" w:color="auto"/>
              <w:left w:val="single" w:sz="6" w:space="0" w:color="auto"/>
              <w:bottom w:val="single" w:sz="6" w:space="0" w:color="auto"/>
              <w:right w:val="single" w:sz="6" w:space="0" w:color="auto"/>
            </w:tcBorders>
            <w:vAlign w:val="center"/>
          </w:tcPr>
          <w:p w14:paraId="0976779E" w14:textId="77777777" w:rsidR="00C032F1" w:rsidRPr="001C0CC4" w:rsidRDefault="00C032F1" w:rsidP="00C032F1">
            <w:pPr>
              <w:pStyle w:val="TAC"/>
            </w:pPr>
            <w:r>
              <w:t>20, 40</w:t>
            </w:r>
          </w:p>
        </w:tc>
        <w:tc>
          <w:tcPr>
            <w:tcW w:w="1071" w:type="dxa"/>
            <w:tcBorders>
              <w:top w:val="single" w:sz="6" w:space="0" w:color="auto"/>
              <w:left w:val="single" w:sz="6" w:space="0" w:color="auto"/>
              <w:bottom w:val="single" w:sz="6" w:space="0" w:color="auto"/>
              <w:right w:val="single" w:sz="6" w:space="0" w:color="auto"/>
            </w:tcBorders>
            <w:vAlign w:val="center"/>
          </w:tcPr>
          <w:p w14:paraId="20D795E2" w14:textId="77777777" w:rsidR="00C032F1" w:rsidRPr="001C0CC4" w:rsidRDefault="00C032F1" w:rsidP="00C032F1">
            <w:pPr>
              <w:pStyle w:val="TAC"/>
            </w:pPr>
            <w:r>
              <w:t>20, 40</w:t>
            </w:r>
          </w:p>
        </w:tc>
        <w:tc>
          <w:tcPr>
            <w:tcW w:w="1071" w:type="dxa"/>
            <w:tcBorders>
              <w:top w:val="single" w:sz="6" w:space="0" w:color="auto"/>
              <w:left w:val="single" w:sz="6" w:space="0" w:color="auto"/>
              <w:bottom w:val="single" w:sz="6" w:space="0" w:color="auto"/>
              <w:right w:val="single" w:sz="6" w:space="0" w:color="auto"/>
            </w:tcBorders>
            <w:vAlign w:val="center"/>
          </w:tcPr>
          <w:p w14:paraId="099DBC66" w14:textId="77777777" w:rsidR="00C032F1" w:rsidRPr="001C0CC4" w:rsidRDefault="00C032F1" w:rsidP="00C032F1">
            <w:pPr>
              <w:pStyle w:val="TAC"/>
            </w:pPr>
          </w:p>
        </w:tc>
        <w:tc>
          <w:tcPr>
            <w:tcW w:w="1071" w:type="dxa"/>
            <w:tcBorders>
              <w:left w:val="single" w:sz="6" w:space="0" w:color="auto"/>
              <w:bottom w:val="single" w:sz="6" w:space="0" w:color="auto"/>
              <w:right w:val="single" w:sz="6" w:space="0" w:color="auto"/>
            </w:tcBorders>
            <w:vAlign w:val="center"/>
          </w:tcPr>
          <w:p w14:paraId="03513880" w14:textId="77777777" w:rsidR="00C032F1" w:rsidRPr="001C0CC4" w:rsidRDefault="00C032F1" w:rsidP="00C032F1">
            <w:pPr>
              <w:pStyle w:val="TAC"/>
              <w:rPr>
                <w:rFonts w:eastAsia="Yu Mincho"/>
                <w:lang w:eastAsia="ja-JP"/>
              </w:rPr>
            </w:pPr>
            <w:r>
              <w:rPr>
                <w:rFonts w:eastAsia="Yu Mincho"/>
                <w:lang w:eastAsia="ja-JP"/>
              </w:rPr>
              <w:t>200</w:t>
            </w:r>
          </w:p>
        </w:tc>
        <w:tc>
          <w:tcPr>
            <w:tcW w:w="1071" w:type="dxa"/>
            <w:tcBorders>
              <w:left w:val="single" w:sz="6" w:space="0" w:color="auto"/>
              <w:right w:val="single" w:sz="4" w:space="0" w:color="auto"/>
            </w:tcBorders>
          </w:tcPr>
          <w:p w14:paraId="5DF136C1" w14:textId="77777777" w:rsidR="00C032F1" w:rsidRPr="001C0CC4" w:rsidRDefault="00C032F1" w:rsidP="00C032F1">
            <w:pPr>
              <w:pStyle w:val="TAC"/>
            </w:pPr>
            <w:r>
              <w:t>0</w:t>
            </w:r>
          </w:p>
        </w:tc>
      </w:tr>
      <w:tr w:rsidR="00C032F1" w:rsidRPr="001C0CC4" w14:paraId="3A3EAF89" w14:textId="77777777" w:rsidTr="00C032F1">
        <w:trPr>
          <w:jc w:val="center"/>
        </w:trPr>
        <w:tc>
          <w:tcPr>
            <w:tcW w:w="1071" w:type="dxa"/>
            <w:tcBorders>
              <w:left w:val="single" w:sz="4" w:space="0" w:color="auto"/>
              <w:bottom w:val="single" w:sz="4" w:space="0" w:color="auto"/>
              <w:right w:val="single" w:sz="6" w:space="0" w:color="auto"/>
            </w:tcBorders>
          </w:tcPr>
          <w:p w14:paraId="4DBAF1DE" w14:textId="77777777" w:rsidR="00C032F1" w:rsidRPr="001C0CC4" w:rsidRDefault="00C032F1" w:rsidP="00C032F1">
            <w:pPr>
              <w:pStyle w:val="TAC"/>
            </w:pPr>
            <w:r>
              <w:t>CA_n46O</w:t>
            </w:r>
          </w:p>
        </w:tc>
        <w:tc>
          <w:tcPr>
            <w:tcW w:w="1071" w:type="dxa"/>
            <w:tcBorders>
              <w:left w:val="single" w:sz="6" w:space="0" w:color="auto"/>
              <w:bottom w:val="single" w:sz="4" w:space="0" w:color="auto"/>
              <w:right w:val="single" w:sz="6" w:space="0" w:color="auto"/>
            </w:tcBorders>
          </w:tcPr>
          <w:p w14:paraId="17DDAD10" w14:textId="77777777" w:rsidR="00C032F1" w:rsidRPr="001C0CC4" w:rsidRDefault="00C032F1" w:rsidP="00C032F1">
            <w:pPr>
              <w:pStyle w:val="TAC"/>
            </w:pPr>
            <w:r>
              <w:rPr>
                <w:rFonts w:cs="Arial"/>
                <w:szCs w:val="18"/>
                <w:lang w:val="sv-SE" w:eastAsia="zh-CN"/>
              </w:rPr>
              <w:t>-</w:t>
            </w:r>
          </w:p>
        </w:tc>
        <w:tc>
          <w:tcPr>
            <w:tcW w:w="1071" w:type="dxa"/>
            <w:tcBorders>
              <w:top w:val="single" w:sz="6" w:space="0" w:color="auto"/>
              <w:left w:val="single" w:sz="6" w:space="0" w:color="auto"/>
              <w:bottom w:val="single" w:sz="6" w:space="0" w:color="auto"/>
              <w:right w:val="single" w:sz="6" w:space="0" w:color="auto"/>
            </w:tcBorders>
            <w:vAlign w:val="center"/>
          </w:tcPr>
          <w:p w14:paraId="2E45095E" w14:textId="77777777" w:rsidR="00C032F1" w:rsidRPr="001C0CC4" w:rsidRDefault="00C032F1" w:rsidP="00C032F1">
            <w:pPr>
              <w:pStyle w:val="TAC"/>
            </w:pPr>
            <w:r>
              <w:t xml:space="preserve">20, </w:t>
            </w:r>
            <w:r w:rsidRPr="00C032F1">
              <w:rPr>
                <w:highlight w:val="yellow"/>
              </w:rPr>
              <w:t>60</w:t>
            </w:r>
          </w:p>
        </w:tc>
        <w:tc>
          <w:tcPr>
            <w:tcW w:w="1071" w:type="dxa"/>
            <w:tcBorders>
              <w:top w:val="single" w:sz="6" w:space="0" w:color="auto"/>
              <w:left w:val="single" w:sz="6" w:space="0" w:color="auto"/>
              <w:bottom w:val="single" w:sz="6" w:space="0" w:color="auto"/>
              <w:right w:val="single" w:sz="6" w:space="0" w:color="auto"/>
            </w:tcBorders>
            <w:vAlign w:val="center"/>
          </w:tcPr>
          <w:p w14:paraId="29852AB9" w14:textId="77777777" w:rsidR="00C032F1" w:rsidRPr="001C0CC4" w:rsidRDefault="00C032F1" w:rsidP="00C032F1">
            <w:pPr>
              <w:pStyle w:val="TAC"/>
            </w:pPr>
            <w:r>
              <w:t>20, 40</w:t>
            </w:r>
          </w:p>
        </w:tc>
        <w:tc>
          <w:tcPr>
            <w:tcW w:w="1071" w:type="dxa"/>
            <w:tcBorders>
              <w:top w:val="single" w:sz="6" w:space="0" w:color="auto"/>
              <w:left w:val="single" w:sz="6" w:space="0" w:color="auto"/>
              <w:bottom w:val="single" w:sz="6" w:space="0" w:color="auto"/>
              <w:right w:val="single" w:sz="6" w:space="0" w:color="auto"/>
            </w:tcBorders>
            <w:vAlign w:val="center"/>
          </w:tcPr>
          <w:p w14:paraId="74C4D14C" w14:textId="77777777" w:rsidR="00C032F1" w:rsidRPr="001C0CC4" w:rsidRDefault="00C032F1" w:rsidP="00C032F1">
            <w:pPr>
              <w:pStyle w:val="TAC"/>
            </w:pPr>
            <w:r>
              <w:t>20, 40</w:t>
            </w:r>
          </w:p>
        </w:tc>
        <w:tc>
          <w:tcPr>
            <w:tcW w:w="1071" w:type="dxa"/>
            <w:tcBorders>
              <w:top w:val="single" w:sz="6" w:space="0" w:color="auto"/>
              <w:left w:val="single" w:sz="6" w:space="0" w:color="auto"/>
              <w:bottom w:val="single" w:sz="6" w:space="0" w:color="auto"/>
              <w:right w:val="single" w:sz="6" w:space="0" w:color="auto"/>
            </w:tcBorders>
            <w:vAlign w:val="center"/>
          </w:tcPr>
          <w:p w14:paraId="3D9E457F" w14:textId="77777777" w:rsidR="00C032F1" w:rsidRPr="001C0CC4" w:rsidRDefault="00C032F1" w:rsidP="00C032F1">
            <w:pPr>
              <w:pStyle w:val="TAC"/>
            </w:pPr>
            <w:r>
              <w:t>20, 40</w:t>
            </w:r>
          </w:p>
        </w:tc>
        <w:tc>
          <w:tcPr>
            <w:tcW w:w="1071" w:type="dxa"/>
            <w:tcBorders>
              <w:top w:val="single" w:sz="6" w:space="0" w:color="auto"/>
              <w:left w:val="single" w:sz="6" w:space="0" w:color="auto"/>
              <w:bottom w:val="single" w:sz="6" w:space="0" w:color="auto"/>
              <w:right w:val="single" w:sz="6" w:space="0" w:color="auto"/>
            </w:tcBorders>
            <w:vAlign w:val="center"/>
          </w:tcPr>
          <w:p w14:paraId="7BDD00C2" w14:textId="77777777" w:rsidR="00C032F1" w:rsidRPr="001C0CC4" w:rsidRDefault="00C032F1" w:rsidP="00C032F1">
            <w:pPr>
              <w:pStyle w:val="TAC"/>
            </w:pPr>
            <w:r>
              <w:t>20, 40</w:t>
            </w:r>
          </w:p>
        </w:tc>
        <w:tc>
          <w:tcPr>
            <w:tcW w:w="1071" w:type="dxa"/>
            <w:tcBorders>
              <w:left w:val="single" w:sz="6" w:space="0" w:color="auto"/>
              <w:bottom w:val="single" w:sz="4" w:space="0" w:color="auto"/>
              <w:right w:val="single" w:sz="6" w:space="0" w:color="auto"/>
            </w:tcBorders>
            <w:vAlign w:val="center"/>
          </w:tcPr>
          <w:p w14:paraId="68731AB2" w14:textId="77777777" w:rsidR="00C032F1" w:rsidRPr="001C0CC4" w:rsidRDefault="00C032F1" w:rsidP="00C032F1">
            <w:pPr>
              <w:pStyle w:val="TAC"/>
              <w:rPr>
                <w:rFonts w:eastAsia="Yu Mincho"/>
                <w:lang w:eastAsia="ja-JP"/>
              </w:rPr>
            </w:pPr>
            <w:r>
              <w:rPr>
                <w:rFonts w:eastAsia="Yu Mincho"/>
                <w:lang w:eastAsia="ja-JP"/>
              </w:rPr>
              <w:t>220</w:t>
            </w:r>
          </w:p>
        </w:tc>
        <w:tc>
          <w:tcPr>
            <w:tcW w:w="1071" w:type="dxa"/>
            <w:tcBorders>
              <w:left w:val="single" w:sz="6" w:space="0" w:color="auto"/>
              <w:bottom w:val="single" w:sz="4" w:space="0" w:color="auto"/>
              <w:right w:val="single" w:sz="4" w:space="0" w:color="auto"/>
            </w:tcBorders>
          </w:tcPr>
          <w:p w14:paraId="22D40132" w14:textId="77777777" w:rsidR="00C032F1" w:rsidRPr="001C0CC4" w:rsidRDefault="00C032F1" w:rsidP="00C032F1">
            <w:pPr>
              <w:pStyle w:val="TAC"/>
            </w:pPr>
            <w:r>
              <w:t>0</w:t>
            </w:r>
          </w:p>
        </w:tc>
      </w:tr>
    </w:tbl>
    <w:p w14:paraId="3358CFAA" w14:textId="77777777" w:rsidR="00C032F1" w:rsidRDefault="00C032F1" w:rsidP="00C032F1">
      <w:pPr>
        <w:spacing w:beforeLines="50" w:before="120"/>
      </w:pPr>
      <w:r>
        <w:rPr>
          <w:rFonts w:hint="eastAsia"/>
        </w:rPr>
        <w:t>O</w:t>
      </w:r>
      <w:r>
        <w:t xml:space="preserve">bviously, </w:t>
      </w:r>
    </w:p>
    <w:p w14:paraId="671B2ACA" w14:textId="1C1FFA4B" w:rsidR="00C032F1" w:rsidRDefault="00C032F1" w:rsidP="00C032F1">
      <w:pPr>
        <w:pStyle w:val="af7"/>
        <w:numPr>
          <w:ilvl w:val="0"/>
          <w:numId w:val="38"/>
        </w:numPr>
        <w:spacing w:beforeLines="50" w:before="120"/>
      </w:pPr>
      <w:r>
        <w:t>For a UE reporting the support of n46O (yet not reporting the support of n46N), network cannot derive the support of 4-CC BW-combo of 80+40+40+40MHz, i.e., network cannot derive the support of n46N BC.</w:t>
      </w:r>
    </w:p>
    <w:p w14:paraId="73A2B4C4" w14:textId="09ECDBAF" w:rsidR="00C032F1" w:rsidRDefault="00C032F1" w:rsidP="00C032F1">
      <w:pPr>
        <w:spacing w:beforeLines="50" w:before="120"/>
      </w:pPr>
      <w:r>
        <w:rPr>
          <w:rFonts w:hint="eastAsia"/>
        </w:rPr>
        <w:t>S</w:t>
      </w:r>
      <w:r>
        <w:t xml:space="preserve">o if the NOTE-2 above </w:t>
      </w:r>
      <w:r w:rsidR="004E472B">
        <w:t>doe</w:t>
      </w:r>
      <w:r>
        <w:t>s not indicate the mandatory support of BW-combo of lower order BW-Class, what does it indicate? Does it indicate the support of maximum aggregated BW?</w:t>
      </w:r>
    </w:p>
    <w:p w14:paraId="6DE83381" w14:textId="2ACB1508" w:rsidR="00C032F1" w:rsidRDefault="00C032F1" w:rsidP="00C032F1">
      <w:pPr>
        <w:spacing w:beforeLines="50" w:before="120"/>
      </w:pPr>
      <w:r>
        <w:rPr>
          <w:rFonts w:hint="eastAsia"/>
        </w:rPr>
        <w:t>E</w:t>
      </w:r>
      <w:r>
        <w:t xml:space="preserve">.g., </w:t>
      </w:r>
    </w:p>
    <w:p w14:paraId="61545665" w14:textId="410A28CE" w:rsidR="00C032F1" w:rsidRDefault="00C032F1" w:rsidP="00C032F1">
      <w:pPr>
        <w:pStyle w:val="af7"/>
        <w:numPr>
          <w:ilvl w:val="0"/>
          <w:numId w:val="38"/>
        </w:numPr>
        <w:spacing w:beforeLines="50" w:before="120"/>
      </w:pPr>
      <w:r>
        <w:t>For a UE reporting the support of n46O (yet not reporting the support of n46N), network can derive that when the UE is configured with 4-CC (although limited to the BW-combo that can be derived from the n46O row in the table above), the maximum aggregated BW is the one that is indicated by n46N, i.e., 200MHz?</w:t>
      </w:r>
    </w:p>
    <w:p w14:paraId="22D1FA64" w14:textId="479CF702" w:rsidR="00C032F1" w:rsidRDefault="00C032F1" w:rsidP="00C032F1">
      <w:pPr>
        <w:spacing w:beforeLines="50" w:before="120"/>
      </w:pPr>
      <w:r>
        <w:rPr>
          <w:rFonts w:hint="eastAsia"/>
        </w:rPr>
        <w:t>B</w:t>
      </w:r>
      <w:r>
        <w:t xml:space="preserve">efore R2 works on the further </w:t>
      </w:r>
      <w:proofErr w:type="spellStart"/>
      <w:r>
        <w:t>signaling</w:t>
      </w:r>
      <w:proofErr w:type="spellEnd"/>
      <w:r>
        <w:t xml:space="preserve"> design triggered by R4 LS, this Q needs to be answered.</w:t>
      </w:r>
    </w:p>
    <w:p w14:paraId="49AC216D" w14:textId="02474A9D" w:rsidR="00C032F1" w:rsidRDefault="00C032F1" w:rsidP="00C032F1">
      <w:pPr>
        <w:spacing w:beforeLines="50" w:before="120"/>
      </w:pPr>
      <w:r>
        <w:rPr>
          <w:rFonts w:hint="eastAsia"/>
        </w:rPr>
        <w:lastRenderedPageBreak/>
        <w:t>O</w:t>
      </w:r>
      <w:r>
        <w:t>bviously, if the fallback rule applies to BW-combo, it is not reasonable based on the n46O/n46M example above (there could be more in the R4 table, we did not make an exhaustive search yet). And thus R4 may need to consider whether / how to handle the BW-combo misalignment as identified.</w:t>
      </w:r>
    </w:p>
    <w:p w14:paraId="18A084DC" w14:textId="4B13A6E6" w:rsidR="00C032F1" w:rsidRDefault="00C032F1" w:rsidP="00C032F1">
      <w:pPr>
        <w:spacing w:beforeLines="50" w:before="120"/>
      </w:pPr>
      <w:r>
        <w:rPr>
          <w:rFonts w:hint="eastAsia"/>
        </w:rPr>
        <w:t>O</w:t>
      </w:r>
      <w:r>
        <w:t>r, if the fallback rule applies to the max-aggregated-BW, it should be further clarified, since that is associated with BCS, i.e., the rule could be more rigorous by saying “</w:t>
      </w:r>
      <w:r w:rsidRPr="00C032F1">
        <w:t>It is mandatory for a UE to be able to fallback to lower order CA bandwidth class configuration within a fallback group</w:t>
      </w:r>
      <w:r>
        <w:t xml:space="preserve"> </w:t>
      </w:r>
      <w:r w:rsidRPr="00C032F1">
        <w:rPr>
          <w:b/>
          <w:bCs/>
        </w:rPr>
        <w:t xml:space="preserve">for </w:t>
      </w:r>
      <w:r w:rsidR="004E472B">
        <w:rPr>
          <w:b/>
          <w:bCs/>
        </w:rPr>
        <w:t>the</w:t>
      </w:r>
      <w:r w:rsidRPr="00C032F1">
        <w:rPr>
          <w:b/>
          <w:bCs/>
        </w:rPr>
        <w:t xml:space="preserve"> same BCS</w:t>
      </w:r>
      <w:r>
        <w:t>”.</w:t>
      </w:r>
    </w:p>
    <w:p w14:paraId="295725A3" w14:textId="4D764C92" w:rsidR="00C032F1" w:rsidRDefault="00C032F1" w:rsidP="00C032F1">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115356105"/>
      <w:r>
        <w:rPr>
          <w:rFonts w:hint="eastAsia"/>
        </w:rPr>
        <w:t>R</w:t>
      </w:r>
      <w:r>
        <w:t>2 clarif</w:t>
      </w:r>
      <w:r w:rsidR="004E472B">
        <w:t>ies</w:t>
      </w:r>
      <w:r>
        <w:t xml:space="preserve"> how to interpret “</w:t>
      </w:r>
      <w:r w:rsidRPr="00C032F1">
        <w:t>It is mandatory for a UE to be able to fallback to lower order CA bandwidth class configuration within a fallback group.</w:t>
      </w:r>
      <w:r>
        <w:t>”, i.e., whether it is applicable to the BW-combo and/or maximum aggregated BW. And if needed, confirm with R4 using LS.</w:t>
      </w:r>
      <w:bookmarkEnd w:id="6"/>
    </w:p>
    <w:p w14:paraId="57FD3E98" w14:textId="7DE0DF51" w:rsidR="00C032F1" w:rsidRDefault="00C032F1" w:rsidP="00C032F1">
      <w:pPr>
        <w:spacing w:beforeLines="50" w:before="120"/>
      </w:pPr>
      <w:r>
        <w:rPr>
          <w:rFonts w:hint="eastAsia"/>
        </w:rPr>
        <w:t>A</w:t>
      </w:r>
      <w:r>
        <w:t xml:space="preserve">fter this essential issue </w:t>
      </w:r>
      <w:r w:rsidR="004E472B">
        <w:t>is</w:t>
      </w:r>
      <w:r>
        <w:t xml:space="preserve"> answered:</w:t>
      </w:r>
    </w:p>
    <w:p w14:paraId="52748B04" w14:textId="5EF9B700" w:rsidR="00C032F1" w:rsidRDefault="00C032F1" w:rsidP="00C032F1">
      <w:pPr>
        <w:spacing w:beforeLines="50" w:before="120"/>
      </w:pPr>
      <w:r>
        <w:t>Firstly, to add the new IE, R2 needs to understand the applicable value set. The LS provides an example using 1600MHz, yet not sure whether it is the only value, and if not, what are the other values are.</w:t>
      </w:r>
    </w:p>
    <w:p w14:paraId="2CEE627A" w14:textId="5549455F" w:rsidR="00C032F1" w:rsidRDefault="00C032F1" w:rsidP="00C032F1">
      <w:pPr>
        <w:spacing w:beforeLines="50" w:before="120"/>
      </w:pPr>
      <w:r>
        <w:t>I</w:t>
      </w:r>
      <w:r>
        <w:rPr>
          <w:rFonts w:hint="eastAsia"/>
        </w:rPr>
        <w:t>t</w:t>
      </w:r>
      <w:r>
        <w:t xml:space="preserve"> has to be answered by R4.</w:t>
      </w:r>
    </w:p>
    <w:p w14:paraId="76F7423F" w14:textId="67DED4ED" w:rsidR="00C032F1" w:rsidRDefault="00C032F1" w:rsidP="00C032F1">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115356106"/>
      <w:r>
        <w:rPr>
          <w:rFonts w:hint="eastAsia"/>
        </w:rPr>
        <w:t>R</w:t>
      </w:r>
      <w:r>
        <w:t>2 asks R4, what the applicable value set for the new IE requested by R4</w:t>
      </w:r>
      <w:r w:rsidR="004E472B">
        <w:t xml:space="preserve"> is</w:t>
      </w:r>
      <w:r>
        <w:t>, only 1600Mhz, or more values besides it.</w:t>
      </w:r>
      <w:bookmarkEnd w:id="7"/>
    </w:p>
    <w:p w14:paraId="31858195" w14:textId="380AC70F" w:rsidR="00C032F1" w:rsidRDefault="00C032F1" w:rsidP="00C032F1">
      <w:pPr>
        <w:spacing w:beforeLines="50" w:before="120"/>
      </w:pPr>
      <w:r>
        <w:rPr>
          <w:rFonts w:hint="eastAsia"/>
        </w:rPr>
        <w:t>S</w:t>
      </w:r>
      <w:r>
        <w:t xml:space="preserve">econdly, the IE granularity has to be clarified </w:t>
      </w:r>
    </w:p>
    <w:p w14:paraId="28494F16" w14:textId="77777777" w:rsidR="00C032F1" w:rsidRDefault="00C032F1" w:rsidP="00C032F1">
      <w:pPr>
        <w:pBdr>
          <w:top w:val="single" w:sz="4" w:space="1" w:color="auto"/>
          <w:left w:val="single" w:sz="4" w:space="4" w:color="auto"/>
          <w:bottom w:val="single" w:sz="4" w:space="1" w:color="auto"/>
          <w:right w:val="single" w:sz="4" w:space="4" w:color="auto"/>
        </w:pBdr>
        <w:spacing w:beforeLines="50" w:before="120"/>
      </w:pPr>
      <w:r>
        <w:t>c.</w:t>
      </w:r>
      <w:r>
        <w:tab/>
        <w:t xml:space="preserve">The IE conveys the max. aggregated bandwidth value for each </w:t>
      </w:r>
      <w:proofErr w:type="spellStart"/>
      <w:r>
        <w:t>FeatureSetListPerUplink</w:t>
      </w:r>
      <w:proofErr w:type="spellEnd"/>
      <w:r>
        <w:t>(Downlink)</w:t>
      </w:r>
      <w:r w:rsidRPr="00C032F1">
        <w:rPr>
          <w:highlight w:val="yellow"/>
        </w:rPr>
        <w:t>CC</w:t>
      </w:r>
      <w:r>
        <w:t xml:space="preserve">. for example, in each </w:t>
      </w:r>
      <w:proofErr w:type="spellStart"/>
      <w:r>
        <w:t>FeatureSetUplink</w:t>
      </w:r>
      <w:proofErr w:type="spellEnd"/>
      <w:r>
        <w:t xml:space="preserve">(Downlink). </w:t>
      </w:r>
    </w:p>
    <w:p w14:paraId="457D4096" w14:textId="0628438A" w:rsidR="00C032F1" w:rsidRDefault="00C032F1" w:rsidP="00C032F1">
      <w:pPr>
        <w:pBdr>
          <w:top w:val="single" w:sz="4" w:space="1" w:color="auto"/>
          <w:left w:val="single" w:sz="4" w:space="4" w:color="auto"/>
          <w:bottom w:val="single" w:sz="4" w:space="1" w:color="auto"/>
          <w:right w:val="single" w:sz="4" w:space="4" w:color="auto"/>
        </w:pBdr>
        <w:spacing w:beforeLines="50" w:before="120"/>
      </w:pPr>
      <w:r>
        <w:t>d.</w:t>
      </w:r>
      <w:r>
        <w:tab/>
        <w:t xml:space="preserve">A band may have multiple values of max. aggregated bandwidth associated with different </w:t>
      </w:r>
      <w:proofErr w:type="spellStart"/>
      <w:r>
        <w:t>FeatureSetListPerUplink</w:t>
      </w:r>
      <w:proofErr w:type="spellEnd"/>
      <w:r>
        <w:t>(Downlink)</w:t>
      </w:r>
      <w:r w:rsidRPr="00C032F1">
        <w:rPr>
          <w:highlight w:val="yellow"/>
        </w:rPr>
        <w:t>CC</w:t>
      </w:r>
      <w:r>
        <w:t>.</w:t>
      </w:r>
    </w:p>
    <w:p w14:paraId="51B3B95B" w14:textId="1B5E9953" w:rsidR="00C032F1" w:rsidRDefault="00C032F1" w:rsidP="00C032F1">
      <w:pPr>
        <w:spacing w:beforeLines="50" w:before="120"/>
      </w:pPr>
      <w:r>
        <w:rPr>
          <w:rFonts w:hint="eastAsia"/>
        </w:rPr>
        <w:t>I</w:t>
      </w:r>
      <w:r>
        <w:t>t is not clear whether it is per-FS, i.e., per-band-entry, or per-FSPC, i.e., per-carrier.</w:t>
      </w:r>
    </w:p>
    <w:p w14:paraId="172CCDE9" w14:textId="5D29FBA9" w:rsidR="00C032F1" w:rsidRDefault="00C032F1" w:rsidP="00C032F1">
      <w:pPr>
        <w:spacing w:beforeLines="50" w:before="120"/>
      </w:pPr>
      <w:r>
        <w:t>Our understanding is it should be per-FS, i.e., to align with BW-Class, yet good to have confirmation by R4.</w:t>
      </w:r>
    </w:p>
    <w:p w14:paraId="2EA85C29" w14:textId="6A9B6FA5" w:rsidR="00C032F1" w:rsidRDefault="00C032F1" w:rsidP="00C032F1">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8" w:name="_Toc115356107"/>
      <w:r>
        <w:rPr>
          <w:rFonts w:hint="eastAsia"/>
        </w:rPr>
        <w:t>R</w:t>
      </w:r>
      <w:r>
        <w:t xml:space="preserve">2 </w:t>
      </w:r>
      <w:r w:rsidR="004E472B">
        <w:t>confirms with</w:t>
      </w:r>
      <w:r>
        <w:t xml:space="preserve"> R4, what is the granularity of the new IE requested by R4, </w:t>
      </w:r>
      <w:r w:rsidR="004E472B">
        <w:t xml:space="preserve">i.e., whether it is </w:t>
      </w:r>
      <w:r>
        <w:t>per-FS (i.e., per-band-entry).</w:t>
      </w:r>
      <w:bookmarkEnd w:id="8"/>
    </w:p>
    <w:p w14:paraId="0C6C04A5" w14:textId="2C91DB9A" w:rsidR="00E44203" w:rsidRPr="00784EBA" w:rsidRDefault="00E44203" w:rsidP="00784EBA"/>
    <w:p w14:paraId="121B23D8" w14:textId="77777777" w:rsidR="00D0573B" w:rsidRDefault="00D0573B">
      <w:pPr>
        <w:pStyle w:val="1"/>
      </w:pPr>
      <w:r>
        <w:t>Conclusion</w:t>
      </w:r>
    </w:p>
    <w:p w14:paraId="363AC2BA" w14:textId="293756F6" w:rsidR="00D0573B" w:rsidRDefault="00D0573B">
      <w:r>
        <w:t>We have the following proposals:</w:t>
      </w:r>
    </w:p>
    <w:p w14:paraId="2164F6DF" w14:textId="5B1390A7" w:rsidR="004E472B" w:rsidRDefault="00D0573B">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15356105" w:history="1">
        <w:r w:rsidR="004E472B" w:rsidRPr="00162090">
          <w:rPr>
            <w:rStyle w:val="a5"/>
            <w:noProof/>
          </w:rPr>
          <w:t>Proposal 1</w:t>
        </w:r>
        <w:r w:rsidR="004E472B">
          <w:rPr>
            <w:rFonts w:asciiTheme="minorHAnsi" w:eastAsiaTheme="minorEastAsia" w:hAnsiTheme="minorHAnsi" w:cstheme="minorBidi"/>
            <w:b w:val="0"/>
            <w:noProof/>
            <w:kern w:val="2"/>
            <w:sz w:val="21"/>
          </w:rPr>
          <w:tab/>
        </w:r>
        <w:r w:rsidR="004E472B" w:rsidRPr="00162090">
          <w:rPr>
            <w:rStyle w:val="a5"/>
            <w:noProof/>
          </w:rPr>
          <w:t>R2 clarifies how to interpret “It is mandatory for a UE to be able to fallback to lower order CA bandwidth class configuration within a fallback group.”, i.e., whether it is applicable to the BW-combo and/or maximum aggregated BW. And if needed, confirm with R4 using LS.</w:t>
        </w:r>
      </w:hyperlink>
    </w:p>
    <w:p w14:paraId="395F7FEF" w14:textId="7B10D9EC" w:rsidR="004E472B" w:rsidRDefault="004E472B">
      <w:pPr>
        <w:pStyle w:val="TOC1"/>
        <w:rPr>
          <w:rFonts w:asciiTheme="minorHAnsi" w:eastAsiaTheme="minorEastAsia" w:hAnsiTheme="minorHAnsi" w:cstheme="minorBidi"/>
          <w:b w:val="0"/>
          <w:noProof/>
          <w:kern w:val="2"/>
          <w:sz w:val="21"/>
        </w:rPr>
      </w:pPr>
      <w:hyperlink w:anchor="_Toc115356106" w:history="1">
        <w:r w:rsidRPr="00162090">
          <w:rPr>
            <w:rStyle w:val="a5"/>
            <w:noProof/>
          </w:rPr>
          <w:t>Proposal 2</w:t>
        </w:r>
        <w:r>
          <w:rPr>
            <w:rFonts w:asciiTheme="minorHAnsi" w:eastAsiaTheme="minorEastAsia" w:hAnsiTheme="minorHAnsi" w:cstheme="minorBidi"/>
            <w:b w:val="0"/>
            <w:noProof/>
            <w:kern w:val="2"/>
            <w:sz w:val="21"/>
          </w:rPr>
          <w:tab/>
        </w:r>
        <w:r w:rsidRPr="00162090">
          <w:rPr>
            <w:rStyle w:val="a5"/>
            <w:noProof/>
          </w:rPr>
          <w:t>R2 asks R4, what the applicable value set for the new IE requested by R4 is, only 1600Mhz, or more values besides it.</w:t>
        </w:r>
      </w:hyperlink>
    </w:p>
    <w:p w14:paraId="1FBBD323" w14:textId="1E39F2CE" w:rsidR="004E472B" w:rsidRDefault="004E472B">
      <w:pPr>
        <w:pStyle w:val="TOC1"/>
        <w:rPr>
          <w:rFonts w:asciiTheme="minorHAnsi" w:eastAsiaTheme="minorEastAsia" w:hAnsiTheme="minorHAnsi" w:cstheme="minorBidi"/>
          <w:b w:val="0"/>
          <w:noProof/>
          <w:kern w:val="2"/>
          <w:sz w:val="21"/>
        </w:rPr>
      </w:pPr>
      <w:hyperlink w:anchor="_Toc115356107" w:history="1">
        <w:r w:rsidRPr="00162090">
          <w:rPr>
            <w:rStyle w:val="a5"/>
            <w:noProof/>
          </w:rPr>
          <w:t>Proposal 3</w:t>
        </w:r>
        <w:r>
          <w:rPr>
            <w:rFonts w:asciiTheme="minorHAnsi" w:eastAsiaTheme="minorEastAsia" w:hAnsiTheme="minorHAnsi" w:cstheme="minorBidi"/>
            <w:b w:val="0"/>
            <w:noProof/>
            <w:kern w:val="2"/>
            <w:sz w:val="21"/>
          </w:rPr>
          <w:tab/>
        </w:r>
        <w:r w:rsidRPr="00162090">
          <w:rPr>
            <w:rStyle w:val="a5"/>
            <w:noProof/>
          </w:rPr>
          <w:t>R2 confirms with R4, what is the granularity of the new IE requested by R4, i.e., whether it is per-FS (i.e., per-band-entry).</w:t>
        </w:r>
      </w:hyperlink>
    </w:p>
    <w:p w14:paraId="2F566ED3" w14:textId="039F9AFE" w:rsidR="00D0573B" w:rsidRDefault="00D0573B">
      <w:pPr>
        <w:rPr>
          <w:b/>
          <w:bCs/>
        </w:rPr>
      </w:pPr>
      <w:r>
        <w:fldChar w:fldCharType="end"/>
      </w:r>
    </w:p>
    <w:p w14:paraId="21E65997" w14:textId="77777777" w:rsidR="00D0573B" w:rsidRDefault="00D0573B">
      <w:pPr>
        <w:pStyle w:val="1"/>
      </w:pPr>
      <w:bookmarkStart w:id="9" w:name="_In-sequence_SDU_delivery"/>
      <w:bookmarkStart w:id="10" w:name="_Ref189809556"/>
      <w:bookmarkStart w:id="11" w:name="_Ref174151459"/>
      <w:bookmarkStart w:id="12" w:name="_Ref450865335"/>
      <w:bookmarkEnd w:id="9"/>
      <w:r>
        <w:rPr>
          <w:rFonts w:hint="eastAsia"/>
        </w:rPr>
        <w:t>Reference</w:t>
      </w:r>
      <w:bookmarkEnd w:id="10"/>
      <w:bookmarkEnd w:id="11"/>
      <w:bookmarkEnd w:id="12"/>
    </w:p>
    <w:p w14:paraId="1D07AD88" w14:textId="2E0FF85E" w:rsidR="00D0573B" w:rsidRPr="0031775B" w:rsidRDefault="00C032F1" w:rsidP="00C032F1">
      <w:pPr>
        <w:pStyle w:val="af7"/>
        <w:numPr>
          <w:ilvl w:val="0"/>
          <w:numId w:val="25"/>
        </w:numPr>
        <w:rPr>
          <w:lang w:val="en-US"/>
        </w:rPr>
      </w:pPr>
      <w:r w:rsidRPr="00C032F1">
        <w:rPr>
          <w:lang w:val="en-US"/>
        </w:rPr>
        <w:t>R4-2215160, LS on new contiguous BW classes for legacy networks</w:t>
      </w:r>
      <w:r>
        <w:rPr>
          <w:lang w:val="en-US"/>
        </w:rPr>
        <w:t>.</w:t>
      </w:r>
    </w:p>
    <w:sectPr w:rsidR="00D0573B" w:rsidRPr="0031775B">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6EC8E" w14:textId="77777777" w:rsidR="00F41117" w:rsidRDefault="00F41117">
      <w:pPr>
        <w:spacing w:after="0"/>
      </w:pPr>
      <w:r>
        <w:separator/>
      </w:r>
    </w:p>
  </w:endnote>
  <w:endnote w:type="continuationSeparator" w:id="0">
    <w:p w14:paraId="44AC6E25" w14:textId="77777777" w:rsidR="00F41117" w:rsidRDefault="00F411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0B870" w14:textId="77777777" w:rsidR="00F41117" w:rsidRDefault="00F41117">
      <w:pPr>
        <w:spacing w:after="0"/>
      </w:pPr>
      <w:r>
        <w:separator/>
      </w:r>
    </w:p>
  </w:footnote>
  <w:footnote w:type="continuationSeparator" w:id="0">
    <w:p w14:paraId="01EEFD5A" w14:textId="77777777" w:rsidR="00F41117" w:rsidRDefault="00F411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ED94725"/>
    <w:multiLevelType w:val="hybridMultilevel"/>
    <w:tmpl w:val="3D3C755E"/>
    <w:lvl w:ilvl="0" w:tplc="2E2A475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9551FB"/>
    <w:multiLevelType w:val="hybridMultilevel"/>
    <w:tmpl w:val="C03AE520"/>
    <w:lvl w:ilvl="0" w:tplc="BFB8A0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12642"/>
    <w:multiLevelType w:val="hybridMultilevel"/>
    <w:tmpl w:val="EE28135E"/>
    <w:lvl w:ilvl="0" w:tplc="11FC5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A83436"/>
    <w:multiLevelType w:val="hybridMultilevel"/>
    <w:tmpl w:val="5810AF8C"/>
    <w:lvl w:ilvl="0" w:tplc="6AA81E08">
      <w:start w:val="3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4941E5"/>
    <w:multiLevelType w:val="hybridMultilevel"/>
    <w:tmpl w:val="E8A0D5D2"/>
    <w:lvl w:ilvl="0" w:tplc="F118E1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814A9E"/>
    <w:multiLevelType w:val="hybridMultilevel"/>
    <w:tmpl w:val="B0D68104"/>
    <w:lvl w:ilvl="0" w:tplc="5434D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 w15:restartNumberingAfterBreak="0">
    <w:nsid w:val="33742E25"/>
    <w:multiLevelType w:val="hybridMultilevel"/>
    <w:tmpl w:val="254679C4"/>
    <w:lvl w:ilvl="0" w:tplc="5F10763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3D2E22"/>
    <w:multiLevelType w:val="hybridMultilevel"/>
    <w:tmpl w:val="E876A5FE"/>
    <w:lvl w:ilvl="0" w:tplc="0EA06C8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0659AC"/>
    <w:multiLevelType w:val="hybridMultilevel"/>
    <w:tmpl w:val="DB44614E"/>
    <w:lvl w:ilvl="0" w:tplc="DA3CEC6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256764"/>
    <w:multiLevelType w:val="hybridMultilevel"/>
    <w:tmpl w:val="EC8420E0"/>
    <w:lvl w:ilvl="0" w:tplc="D7C655CC">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B157EF"/>
    <w:multiLevelType w:val="hybridMultilevel"/>
    <w:tmpl w:val="65AAC7AE"/>
    <w:lvl w:ilvl="0" w:tplc="20385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8C1987"/>
    <w:multiLevelType w:val="hybridMultilevel"/>
    <w:tmpl w:val="A62A0E14"/>
    <w:lvl w:ilvl="0" w:tplc="604E243E">
      <w:start w:val="1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41645222">
    <w:abstractNumId w:val="0"/>
  </w:num>
  <w:num w:numId="2" w16cid:durableId="1815945478">
    <w:abstractNumId w:val="21"/>
  </w:num>
  <w:num w:numId="3" w16cid:durableId="899944734">
    <w:abstractNumId w:val="8"/>
  </w:num>
  <w:num w:numId="4" w16cid:durableId="923492633">
    <w:abstractNumId w:val="14"/>
  </w:num>
  <w:num w:numId="5" w16cid:durableId="388650328">
    <w:abstractNumId w:val="7"/>
  </w:num>
  <w:num w:numId="6" w16cid:durableId="194120226">
    <w:abstractNumId w:val="13"/>
  </w:num>
  <w:num w:numId="7" w16cid:durableId="706684547">
    <w:abstractNumId w:val="12"/>
  </w:num>
  <w:num w:numId="8" w16cid:durableId="193084676">
    <w:abstractNumId w:val="18"/>
  </w:num>
  <w:num w:numId="9" w16cid:durableId="816410757">
    <w:abstractNumId w:val="27"/>
  </w:num>
  <w:num w:numId="10" w16cid:durableId="653684121">
    <w:abstractNumId w:val="19"/>
  </w:num>
  <w:num w:numId="11" w16cid:durableId="371805985">
    <w:abstractNumId w:val="26"/>
  </w:num>
  <w:num w:numId="12" w16cid:durableId="972979358">
    <w:abstractNumId w:val="17"/>
  </w:num>
  <w:num w:numId="13" w16cid:durableId="808475542">
    <w:abstractNumId w:val="23"/>
  </w:num>
  <w:num w:numId="14" w16cid:durableId="546263116">
    <w:abstractNumId w:val="24"/>
  </w:num>
  <w:num w:numId="15" w16cid:durableId="350226054">
    <w:abstractNumId w:val="4"/>
  </w:num>
  <w:num w:numId="16" w16cid:durableId="1909027091">
    <w:abstractNumId w:val="20"/>
  </w:num>
  <w:num w:numId="17" w16cid:durableId="238295096">
    <w:abstractNumId w:val="0"/>
  </w:num>
  <w:num w:numId="18" w16cid:durableId="687215452">
    <w:abstractNumId w:val="0"/>
  </w:num>
  <w:num w:numId="19" w16cid:durableId="2087678209">
    <w:abstractNumId w:val="25"/>
  </w:num>
  <w:num w:numId="20" w16cid:durableId="419525127">
    <w:abstractNumId w:val="15"/>
  </w:num>
  <w:num w:numId="21" w16cid:durableId="755323464">
    <w:abstractNumId w:val="0"/>
  </w:num>
  <w:num w:numId="22" w16cid:durableId="189224795">
    <w:abstractNumId w:val="0"/>
  </w:num>
  <w:num w:numId="23" w16cid:durableId="1057358412">
    <w:abstractNumId w:val="0"/>
  </w:num>
  <w:num w:numId="24" w16cid:durableId="1422294811">
    <w:abstractNumId w:val="1"/>
  </w:num>
  <w:num w:numId="25" w16cid:durableId="1870876810">
    <w:abstractNumId w:val="16"/>
  </w:num>
  <w:num w:numId="26" w16cid:durableId="1423457256">
    <w:abstractNumId w:val="0"/>
  </w:num>
  <w:num w:numId="27" w16cid:durableId="230889647">
    <w:abstractNumId w:val="0"/>
  </w:num>
  <w:num w:numId="28" w16cid:durableId="1874226968">
    <w:abstractNumId w:val="0"/>
  </w:num>
  <w:num w:numId="29" w16cid:durableId="1530953252">
    <w:abstractNumId w:val="11"/>
  </w:num>
  <w:num w:numId="30" w16cid:durableId="494613722">
    <w:abstractNumId w:val="0"/>
  </w:num>
  <w:num w:numId="31" w16cid:durableId="1372463149">
    <w:abstractNumId w:val="2"/>
  </w:num>
  <w:num w:numId="32" w16cid:durableId="1789200443">
    <w:abstractNumId w:val="22"/>
  </w:num>
  <w:num w:numId="33" w16cid:durableId="588545806">
    <w:abstractNumId w:val="24"/>
  </w:num>
  <w:num w:numId="34" w16cid:durableId="1085758447">
    <w:abstractNumId w:val="3"/>
  </w:num>
  <w:num w:numId="35" w16cid:durableId="2076976709">
    <w:abstractNumId w:val="9"/>
  </w:num>
  <w:num w:numId="36" w16cid:durableId="2071070412">
    <w:abstractNumId w:val="5"/>
  </w:num>
  <w:num w:numId="37" w16cid:durableId="704522490">
    <w:abstractNumId w:val="6"/>
  </w:num>
  <w:num w:numId="38" w16cid:durableId="2110808474">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tqgFAKdeHeE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2724F"/>
    <w:rsid w:val="000325B8"/>
    <w:rsid w:val="00032EFB"/>
    <w:rsid w:val="000344AF"/>
    <w:rsid w:val="00034C15"/>
    <w:rsid w:val="000363CA"/>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92F"/>
    <w:rsid w:val="000B3A8F"/>
    <w:rsid w:val="000B3B7A"/>
    <w:rsid w:val="000B3D7A"/>
    <w:rsid w:val="000B454B"/>
    <w:rsid w:val="000B4AB9"/>
    <w:rsid w:val="000B4E5C"/>
    <w:rsid w:val="000B4EC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3D76"/>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57741"/>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4AA5"/>
    <w:rsid w:val="001E58E2"/>
    <w:rsid w:val="001E7AED"/>
    <w:rsid w:val="001F0CCF"/>
    <w:rsid w:val="001F3916"/>
    <w:rsid w:val="001F3DC2"/>
    <w:rsid w:val="001F54C5"/>
    <w:rsid w:val="001F6031"/>
    <w:rsid w:val="001F6452"/>
    <w:rsid w:val="001F6563"/>
    <w:rsid w:val="001F662C"/>
    <w:rsid w:val="001F7074"/>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1775B"/>
    <w:rsid w:val="003203ED"/>
    <w:rsid w:val="00320683"/>
    <w:rsid w:val="00320D8F"/>
    <w:rsid w:val="00321B01"/>
    <w:rsid w:val="00321BF4"/>
    <w:rsid w:val="00321CCD"/>
    <w:rsid w:val="00322088"/>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284C"/>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4DB9"/>
    <w:rsid w:val="004A64FA"/>
    <w:rsid w:val="004B09A0"/>
    <w:rsid w:val="004B1FA5"/>
    <w:rsid w:val="004B254E"/>
    <w:rsid w:val="004B2B6D"/>
    <w:rsid w:val="004B32A3"/>
    <w:rsid w:val="004B4ECD"/>
    <w:rsid w:val="004B5C2F"/>
    <w:rsid w:val="004B72FC"/>
    <w:rsid w:val="004B7C0C"/>
    <w:rsid w:val="004C005B"/>
    <w:rsid w:val="004C0117"/>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72B"/>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A0D"/>
    <w:rsid w:val="005C1A97"/>
    <w:rsid w:val="005C3B16"/>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0791"/>
    <w:rsid w:val="006311B3"/>
    <w:rsid w:val="0063181D"/>
    <w:rsid w:val="0063284C"/>
    <w:rsid w:val="00632BE1"/>
    <w:rsid w:val="00632C4B"/>
    <w:rsid w:val="006332FD"/>
    <w:rsid w:val="0063366C"/>
    <w:rsid w:val="00633F19"/>
    <w:rsid w:val="00633F2F"/>
    <w:rsid w:val="00634478"/>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AB9"/>
    <w:rsid w:val="006511BC"/>
    <w:rsid w:val="00651429"/>
    <w:rsid w:val="006521DB"/>
    <w:rsid w:val="006536C1"/>
    <w:rsid w:val="00654EF1"/>
    <w:rsid w:val="00655733"/>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73C"/>
    <w:rsid w:val="00684C20"/>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7B"/>
    <w:rsid w:val="006C1DB4"/>
    <w:rsid w:val="006C22F4"/>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0A4"/>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54B4"/>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4BA4"/>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CC9"/>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22C6"/>
    <w:rsid w:val="007F3D18"/>
    <w:rsid w:val="007F3EC6"/>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10"/>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FF8"/>
    <w:rsid w:val="00840847"/>
    <w:rsid w:val="008412EA"/>
    <w:rsid w:val="0084391E"/>
    <w:rsid w:val="008444E8"/>
    <w:rsid w:val="00844723"/>
    <w:rsid w:val="00844E80"/>
    <w:rsid w:val="00845754"/>
    <w:rsid w:val="0084651D"/>
    <w:rsid w:val="00846FE7"/>
    <w:rsid w:val="008470E5"/>
    <w:rsid w:val="00847316"/>
    <w:rsid w:val="0084745A"/>
    <w:rsid w:val="00850585"/>
    <w:rsid w:val="00850F92"/>
    <w:rsid w:val="008516F5"/>
    <w:rsid w:val="008528D8"/>
    <w:rsid w:val="00853FD9"/>
    <w:rsid w:val="0085566A"/>
    <w:rsid w:val="00855A9E"/>
    <w:rsid w:val="00856911"/>
    <w:rsid w:val="00856F80"/>
    <w:rsid w:val="008571C1"/>
    <w:rsid w:val="00857F50"/>
    <w:rsid w:val="008617AC"/>
    <w:rsid w:val="0086247C"/>
    <w:rsid w:val="0086318D"/>
    <w:rsid w:val="00864DB5"/>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6FF0"/>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BD1"/>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2AA9"/>
    <w:rsid w:val="00B02FA3"/>
    <w:rsid w:val="00B02FF3"/>
    <w:rsid w:val="00B03E30"/>
    <w:rsid w:val="00B05084"/>
    <w:rsid w:val="00B05E98"/>
    <w:rsid w:val="00B07DD7"/>
    <w:rsid w:val="00B101E0"/>
    <w:rsid w:val="00B10E4C"/>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15AF"/>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E2"/>
    <w:rsid w:val="00B52E5B"/>
    <w:rsid w:val="00B5336F"/>
    <w:rsid w:val="00B536D4"/>
    <w:rsid w:val="00B53A00"/>
    <w:rsid w:val="00B54340"/>
    <w:rsid w:val="00B555C1"/>
    <w:rsid w:val="00B61138"/>
    <w:rsid w:val="00B61834"/>
    <w:rsid w:val="00B61E49"/>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2E8"/>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32F1"/>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31FC"/>
    <w:rsid w:val="00C45066"/>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7B45"/>
    <w:rsid w:val="00CC7F71"/>
    <w:rsid w:val="00CD0A37"/>
    <w:rsid w:val="00CD1188"/>
    <w:rsid w:val="00CD2ED1"/>
    <w:rsid w:val="00CD337B"/>
    <w:rsid w:val="00CD4628"/>
    <w:rsid w:val="00CD67BA"/>
    <w:rsid w:val="00CD6F1E"/>
    <w:rsid w:val="00CD7FE4"/>
    <w:rsid w:val="00CE0424"/>
    <w:rsid w:val="00CE2030"/>
    <w:rsid w:val="00CE2C2F"/>
    <w:rsid w:val="00CE2DE8"/>
    <w:rsid w:val="00CE34DB"/>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2E26"/>
    <w:rsid w:val="00D13135"/>
    <w:rsid w:val="00D13757"/>
    <w:rsid w:val="00D13E4E"/>
    <w:rsid w:val="00D14351"/>
    <w:rsid w:val="00D15919"/>
    <w:rsid w:val="00D15998"/>
    <w:rsid w:val="00D15D7C"/>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7D2"/>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4724"/>
    <w:rsid w:val="00D652B5"/>
    <w:rsid w:val="00D65796"/>
    <w:rsid w:val="00D65F70"/>
    <w:rsid w:val="00D66155"/>
    <w:rsid w:val="00D669C6"/>
    <w:rsid w:val="00D67097"/>
    <w:rsid w:val="00D708B0"/>
    <w:rsid w:val="00D70D3B"/>
    <w:rsid w:val="00D7189E"/>
    <w:rsid w:val="00D71D16"/>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9E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30A"/>
    <w:rsid w:val="00D9453C"/>
    <w:rsid w:val="00D95CEE"/>
    <w:rsid w:val="00D96FCE"/>
    <w:rsid w:val="00DA0D90"/>
    <w:rsid w:val="00DA18D1"/>
    <w:rsid w:val="00DA1B30"/>
    <w:rsid w:val="00DA2FA3"/>
    <w:rsid w:val="00DA305E"/>
    <w:rsid w:val="00DA378F"/>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74F"/>
    <w:rsid w:val="00DC088E"/>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0FA2"/>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7E0"/>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60CD"/>
    <w:rsid w:val="00E46886"/>
    <w:rsid w:val="00E47AEF"/>
    <w:rsid w:val="00E500D0"/>
    <w:rsid w:val="00E51DEE"/>
    <w:rsid w:val="00E52125"/>
    <w:rsid w:val="00E525F8"/>
    <w:rsid w:val="00E527FA"/>
    <w:rsid w:val="00E53B75"/>
    <w:rsid w:val="00E54E3B"/>
    <w:rsid w:val="00E57532"/>
    <w:rsid w:val="00E57565"/>
    <w:rsid w:val="00E577A3"/>
    <w:rsid w:val="00E57BCB"/>
    <w:rsid w:val="00E61D41"/>
    <w:rsid w:val="00E63838"/>
    <w:rsid w:val="00E642D8"/>
    <w:rsid w:val="00E64434"/>
    <w:rsid w:val="00E6645E"/>
    <w:rsid w:val="00E67C51"/>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27C6"/>
    <w:rsid w:val="00EC29A7"/>
    <w:rsid w:val="00EC2F7B"/>
    <w:rsid w:val="00EC36BF"/>
    <w:rsid w:val="00EC4207"/>
    <w:rsid w:val="00EC4505"/>
    <w:rsid w:val="00EC46AB"/>
    <w:rsid w:val="00EC5653"/>
    <w:rsid w:val="00EC616F"/>
    <w:rsid w:val="00EC71CE"/>
    <w:rsid w:val="00EC740B"/>
    <w:rsid w:val="00ED0393"/>
    <w:rsid w:val="00ED0E7A"/>
    <w:rsid w:val="00ED1006"/>
    <w:rsid w:val="00ED1895"/>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400E4"/>
    <w:rsid w:val="00F40F0C"/>
    <w:rsid w:val="00F41117"/>
    <w:rsid w:val="00F42E71"/>
    <w:rsid w:val="00F43835"/>
    <w:rsid w:val="00F46B0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5F5E"/>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3987"/>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172B"/>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uiPriority w:val="99"/>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customStyle="1" w:styleId="Heading1b">
    <w:name w:val="Heading 1b"/>
    <w:basedOn w:val="1"/>
    <w:rsid w:val="00D9430A"/>
    <w:pPr>
      <w:numPr>
        <w:numId w:val="35"/>
      </w:numPr>
      <w:overflowPunct/>
      <w:autoSpaceDE/>
      <w:autoSpaceDN/>
      <w:adjustRightInd/>
      <w:textAlignment w:val="auto"/>
    </w:pPr>
    <w:rPr>
      <w:color w:val="0000FF"/>
      <w:kern w:val="2"/>
      <w:szCs w:val="20"/>
      <w:lang w:eastAsia="en-US"/>
    </w:rPr>
  </w:style>
  <w:style w:type="character" w:customStyle="1" w:styleId="TANChar">
    <w:name w:val="TAN Char"/>
    <w:link w:val="TAN"/>
    <w:qFormat/>
    <w:rsid w:val="00C032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74840185">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7DBFDF-29C8-40CA-9A3F-419ABEE29EB2}">
  <ds:schemaRefs>
    <ds:schemaRef ds:uri="http://schemas.openxmlformats.org/officeDocument/2006/bibliography"/>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77</TotalTime>
  <Pages>2</Pages>
  <Words>732</Words>
  <Characters>4173</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4896</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 Lu)</cp:lastModifiedBy>
  <cp:revision>13</cp:revision>
  <cp:lastPrinted>2008-01-31T16:09:00Z</cp:lastPrinted>
  <dcterms:created xsi:type="dcterms:W3CDTF">2022-02-07T10:46:00Z</dcterms:created>
  <dcterms:modified xsi:type="dcterms:W3CDTF">2022-09-29T07:01:00Z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